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C87" w:rsidRPr="00F80D29" w:rsidRDefault="00044DDE" w:rsidP="007269F3">
      <w:pPr>
        <w:spacing w:after="0" w:line="360" w:lineRule="auto"/>
        <w:jc w:val="center"/>
        <w:rPr>
          <w:rFonts w:ascii="Times New Roman" w:hAnsi="Times New Roman"/>
          <w:sz w:val="30"/>
          <w:szCs w:val="30"/>
        </w:rPr>
      </w:pPr>
      <w:bookmarkStart w:id="0" w:name="_GoBack"/>
      <w:bookmarkEnd w:id="0"/>
      <w:r w:rsidRPr="00F80D29">
        <w:rPr>
          <w:rFonts w:ascii="Times New Roman" w:hAnsi="Times New Roman"/>
          <w:sz w:val="30"/>
          <w:szCs w:val="30"/>
        </w:rPr>
        <w:t xml:space="preserve">Access to </w:t>
      </w:r>
      <w:r w:rsidR="00C74AC7" w:rsidRPr="00F80D29">
        <w:rPr>
          <w:rFonts w:ascii="Times New Roman" w:hAnsi="Times New Roman"/>
          <w:sz w:val="30"/>
          <w:szCs w:val="30"/>
        </w:rPr>
        <w:t xml:space="preserve">Consumer Credit </w:t>
      </w:r>
      <w:r w:rsidR="005B5C87" w:rsidRPr="00F80D29">
        <w:rPr>
          <w:rFonts w:ascii="Times New Roman" w:hAnsi="Times New Roman"/>
          <w:sz w:val="30"/>
          <w:szCs w:val="30"/>
        </w:rPr>
        <w:t xml:space="preserve">in </w:t>
      </w:r>
      <w:r w:rsidR="00507E17" w:rsidRPr="00F80D29">
        <w:rPr>
          <w:rFonts w:ascii="Times New Roman" w:hAnsi="Times New Roman"/>
          <w:sz w:val="30"/>
          <w:szCs w:val="30"/>
        </w:rPr>
        <w:t xml:space="preserve">the </w:t>
      </w:r>
      <w:r w:rsidR="005B5C87" w:rsidRPr="00F80D29">
        <w:rPr>
          <w:rFonts w:ascii="Times New Roman" w:hAnsi="Times New Roman"/>
          <w:sz w:val="30"/>
          <w:szCs w:val="30"/>
        </w:rPr>
        <w:t>UK</w:t>
      </w:r>
      <w:r w:rsidR="009858A7" w:rsidRPr="00F80D29">
        <w:rPr>
          <w:rFonts w:ascii="Times New Roman" w:hAnsi="Times New Roman"/>
          <w:sz w:val="30"/>
          <w:szCs w:val="30"/>
          <w:vertAlign w:val="superscript"/>
        </w:rPr>
        <w:t>*</w:t>
      </w:r>
    </w:p>
    <w:p w:rsidR="00A83F9F" w:rsidRPr="00F80D29" w:rsidRDefault="00A83F9F" w:rsidP="003843C3">
      <w:pPr>
        <w:pStyle w:val="PreformattatoHTML"/>
        <w:spacing w:line="360" w:lineRule="auto"/>
        <w:ind w:left="567" w:hanging="567"/>
        <w:jc w:val="center"/>
        <w:rPr>
          <w:rFonts w:ascii="Times New Roman" w:hAnsi="Times New Roman" w:cs="Times New Roman"/>
          <w:sz w:val="24"/>
          <w:szCs w:val="24"/>
        </w:rPr>
      </w:pPr>
    </w:p>
    <w:p w:rsidR="003843C3" w:rsidRPr="00F80D29" w:rsidRDefault="005B5C87" w:rsidP="003843C3">
      <w:pPr>
        <w:pStyle w:val="PreformattatoHTML"/>
        <w:spacing w:line="360" w:lineRule="auto"/>
        <w:ind w:left="567" w:hanging="567"/>
        <w:jc w:val="center"/>
        <w:rPr>
          <w:rFonts w:ascii="Times New Roman" w:hAnsi="Times New Roman" w:cs="Times New Roman"/>
          <w:sz w:val="24"/>
          <w:szCs w:val="24"/>
        </w:rPr>
      </w:pPr>
      <w:r w:rsidRPr="00F80D29">
        <w:rPr>
          <w:rFonts w:ascii="Times New Roman" w:hAnsi="Times New Roman" w:cs="Times New Roman"/>
          <w:sz w:val="24"/>
          <w:szCs w:val="24"/>
        </w:rPr>
        <w:t>Solomon Y. Deku</w:t>
      </w:r>
    </w:p>
    <w:p w:rsidR="003843C3" w:rsidRPr="00F80D29" w:rsidRDefault="009A6571" w:rsidP="006A401F">
      <w:pPr>
        <w:pStyle w:val="PreformattatoHTML"/>
        <w:spacing w:line="360" w:lineRule="auto"/>
        <w:ind w:left="567" w:hanging="567"/>
        <w:jc w:val="center"/>
        <w:rPr>
          <w:rFonts w:ascii="Times New Roman" w:hAnsi="Times New Roman" w:cs="Times New Roman"/>
          <w:i/>
          <w:sz w:val="24"/>
          <w:szCs w:val="24"/>
        </w:rPr>
      </w:pPr>
      <w:r w:rsidRPr="00F80D29">
        <w:rPr>
          <w:rFonts w:ascii="Times New Roman" w:hAnsi="Times New Roman" w:cs="Times New Roman"/>
          <w:i/>
          <w:sz w:val="24"/>
          <w:szCs w:val="24"/>
        </w:rPr>
        <w:t xml:space="preserve">Business School, </w:t>
      </w:r>
      <w:r w:rsidR="006A401F" w:rsidRPr="00F80D29">
        <w:rPr>
          <w:rFonts w:ascii="Times New Roman" w:hAnsi="Times New Roman" w:cs="Times New Roman"/>
          <w:i/>
          <w:sz w:val="24"/>
          <w:szCs w:val="24"/>
        </w:rPr>
        <w:t xml:space="preserve">University of </w:t>
      </w:r>
      <w:r w:rsidR="003843C3" w:rsidRPr="00F80D29">
        <w:rPr>
          <w:rFonts w:ascii="Times New Roman" w:hAnsi="Times New Roman" w:cs="Times New Roman"/>
          <w:i/>
          <w:sz w:val="24"/>
          <w:szCs w:val="24"/>
        </w:rPr>
        <w:t>Hul</w:t>
      </w:r>
      <w:r w:rsidR="006A401F" w:rsidRPr="00F80D29">
        <w:rPr>
          <w:rFonts w:ascii="Times New Roman" w:hAnsi="Times New Roman" w:cs="Times New Roman"/>
          <w:i/>
          <w:sz w:val="24"/>
          <w:szCs w:val="24"/>
        </w:rPr>
        <w:t>l</w:t>
      </w:r>
      <w:r w:rsidRPr="00F80D29">
        <w:rPr>
          <w:rFonts w:ascii="Times New Roman" w:hAnsi="Times New Roman" w:cs="Times New Roman"/>
          <w:i/>
          <w:sz w:val="24"/>
          <w:szCs w:val="24"/>
        </w:rPr>
        <w:t xml:space="preserve">, HU6 </w:t>
      </w:r>
      <w:r w:rsidR="00934110" w:rsidRPr="00F80D29">
        <w:rPr>
          <w:rFonts w:ascii="Times New Roman" w:hAnsi="Times New Roman" w:cs="Times New Roman"/>
          <w:i/>
          <w:sz w:val="24"/>
          <w:szCs w:val="24"/>
        </w:rPr>
        <w:t>7RX Hull, UK</w:t>
      </w:r>
    </w:p>
    <w:p w:rsidR="003843C3" w:rsidRPr="00F80D29" w:rsidRDefault="003843C3" w:rsidP="003843C3">
      <w:pPr>
        <w:pStyle w:val="PreformattatoHTML"/>
        <w:spacing w:line="360" w:lineRule="auto"/>
        <w:ind w:left="567" w:hanging="567"/>
        <w:jc w:val="center"/>
        <w:rPr>
          <w:rFonts w:ascii="Times New Roman" w:hAnsi="Times New Roman" w:cs="Times New Roman"/>
          <w:sz w:val="24"/>
          <w:szCs w:val="24"/>
        </w:rPr>
      </w:pPr>
    </w:p>
    <w:p w:rsidR="006A401F" w:rsidRPr="00F80D29" w:rsidRDefault="005B5C87" w:rsidP="00934110">
      <w:pPr>
        <w:pStyle w:val="PreformattatoHTML"/>
        <w:spacing w:line="360" w:lineRule="auto"/>
        <w:ind w:left="567" w:hanging="567"/>
        <w:jc w:val="center"/>
        <w:rPr>
          <w:rFonts w:ascii="Times New Roman" w:hAnsi="Times New Roman" w:cs="Times New Roman"/>
          <w:sz w:val="24"/>
          <w:szCs w:val="24"/>
        </w:rPr>
      </w:pPr>
      <w:r w:rsidRPr="00F80D29">
        <w:rPr>
          <w:rFonts w:ascii="Times New Roman" w:hAnsi="Times New Roman" w:cs="Times New Roman"/>
          <w:sz w:val="24"/>
          <w:szCs w:val="24"/>
        </w:rPr>
        <w:t>Alper Kara</w:t>
      </w:r>
      <w:r w:rsidRPr="00F80D29">
        <w:rPr>
          <w:rFonts w:ascii="Times New Roman" w:hAnsi="Times New Roman" w:cs="Times New Roman"/>
          <w:sz w:val="24"/>
          <w:szCs w:val="24"/>
          <w:vertAlign w:val="superscript"/>
        </w:rPr>
        <w:t>a</w:t>
      </w:r>
      <w:r w:rsidR="00B41107" w:rsidRPr="00F80D29">
        <w:rPr>
          <w:rFonts w:ascii="Times New Roman" w:hAnsi="Times New Roman" w:cs="Times New Roman"/>
          <w:sz w:val="24"/>
          <w:szCs w:val="24"/>
        </w:rPr>
        <w:t xml:space="preserve"> </w:t>
      </w:r>
    </w:p>
    <w:p w:rsidR="00934110" w:rsidRPr="00F80D29" w:rsidRDefault="00934110" w:rsidP="00934110">
      <w:pPr>
        <w:pStyle w:val="PreformattatoHTML"/>
        <w:spacing w:line="360" w:lineRule="auto"/>
        <w:ind w:left="567" w:hanging="567"/>
        <w:jc w:val="center"/>
        <w:rPr>
          <w:rFonts w:ascii="Times New Roman" w:hAnsi="Times New Roman" w:cs="Times New Roman"/>
          <w:i/>
          <w:sz w:val="24"/>
          <w:szCs w:val="24"/>
        </w:rPr>
      </w:pPr>
      <w:r w:rsidRPr="00F80D29">
        <w:rPr>
          <w:rFonts w:ascii="Times New Roman" w:hAnsi="Times New Roman" w:cs="Times New Roman"/>
          <w:i/>
          <w:sz w:val="24"/>
          <w:szCs w:val="24"/>
        </w:rPr>
        <w:t xml:space="preserve">Business School, University of Hull, HU6 </w:t>
      </w:r>
      <w:r w:rsidR="00C86D66" w:rsidRPr="00F80D29">
        <w:rPr>
          <w:rFonts w:ascii="Times New Roman" w:hAnsi="Times New Roman" w:cs="Times New Roman"/>
          <w:i/>
          <w:sz w:val="24"/>
          <w:szCs w:val="24"/>
        </w:rPr>
        <w:t>7RX Hull</w:t>
      </w:r>
      <w:r w:rsidRPr="00F80D29">
        <w:rPr>
          <w:rFonts w:ascii="Times New Roman" w:hAnsi="Times New Roman" w:cs="Times New Roman"/>
          <w:i/>
          <w:sz w:val="24"/>
          <w:szCs w:val="24"/>
        </w:rPr>
        <w:t>, UK</w:t>
      </w:r>
    </w:p>
    <w:p w:rsidR="00EC0C2E" w:rsidRPr="00F80D29" w:rsidRDefault="00EC0C2E" w:rsidP="003843C3">
      <w:pPr>
        <w:pStyle w:val="PreformattatoHTML"/>
        <w:spacing w:line="360" w:lineRule="auto"/>
        <w:ind w:left="567" w:hanging="567"/>
        <w:jc w:val="center"/>
        <w:rPr>
          <w:rFonts w:ascii="Times New Roman" w:hAnsi="Times New Roman" w:cs="Times New Roman"/>
          <w:sz w:val="24"/>
          <w:szCs w:val="24"/>
        </w:rPr>
      </w:pPr>
    </w:p>
    <w:p w:rsidR="005B5C87" w:rsidRPr="00F80D29" w:rsidRDefault="00B41107" w:rsidP="003843C3">
      <w:pPr>
        <w:pStyle w:val="PreformattatoHTML"/>
        <w:spacing w:line="360" w:lineRule="auto"/>
        <w:ind w:left="567" w:hanging="567"/>
        <w:jc w:val="center"/>
        <w:rPr>
          <w:rFonts w:ascii="Times New Roman" w:hAnsi="Times New Roman" w:cs="Times New Roman"/>
          <w:sz w:val="24"/>
          <w:szCs w:val="24"/>
        </w:rPr>
      </w:pPr>
      <w:r w:rsidRPr="00F80D29">
        <w:rPr>
          <w:rFonts w:ascii="Times New Roman" w:hAnsi="Times New Roman" w:cs="Times New Roman"/>
          <w:sz w:val="24"/>
          <w:szCs w:val="24"/>
        </w:rPr>
        <w:t>P</w:t>
      </w:r>
      <w:r w:rsidR="002065BD" w:rsidRPr="00F80D29">
        <w:rPr>
          <w:rFonts w:ascii="Times New Roman" w:hAnsi="Times New Roman" w:cs="Times New Roman"/>
          <w:sz w:val="24"/>
          <w:szCs w:val="24"/>
        </w:rPr>
        <w:t>hil</w:t>
      </w:r>
      <w:r w:rsidR="00EC0C2E" w:rsidRPr="00F80D29">
        <w:rPr>
          <w:rFonts w:ascii="Times New Roman" w:hAnsi="Times New Roman" w:cs="Times New Roman"/>
          <w:sz w:val="24"/>
          <w:szCs w:val="24"/>
        </w:rPr>
        <w:t>ip</w:t>
      </w:r>
      <w:r w:rsidR="002065BD" w:rsidRPr="00F80D29">
        <w:rPr>
          <w:rFonts w:ascii="Times New Roman" w:hAnsi="Times New Roman" w:cs="Times New Roman"/>
          <w:sz w:val="24"/>
          <w:szCs w:val="24"/>
        </w:rPr>
        <w:t xml:space="preserve"> Molyneux</w:t>
      </w:r>
    </w:p>
    <w:p w:rsidR="003843C3" w:rsidRPr="00F80D29" w:rsidRDefault="00934110" w:rsidP="006A401F">
      <w:pPr>
        <w:pStyle w:val="PreformattatoHTML"/>
        <w:spacing w:line="360" w:lineRule="auto"/>
        <w:ind w:left="567" w:hanging="567"/>
        <w:jc w:val="center"/>
        <w:rPr>
          <w:rFonts w:ascii="Times New Roman" w:hAnsi="Times New Roman" w:cs="Times New Roman"/>
          <w:i/>
          <w:sz w:val="24"/>
          <w:szCs w:val="24"/>
        </w:rPr>
      </w:pPr>
      <w:r w:rsidRPr="00F80D29">
        <w:rPr>
          <w:rFonts w:ascii="Times New Roman" w:hAnsi="Times New Roman" w:cs="Times New Roman"/>
          <w:i/>
          <w:sz w:val="24"/>
          <w:szCs w:val="24"/>
        </w:rPr>
        <w:t xml:space="preserve">Business School, </w:t>
      </w:r>
      <w:r w:rsidR="003843C3" w:rsidRPr="00F80D29">
        <w:rPr>
          <w:rFonts w:ascii="Times New Roman" w:hAnsi="Times New Roman" w:cs="Times New Roman"/>
          <w:i/>
          <w:sz w:val="24"/>
          <w:szCs w:val="24"/>
        </w:rPr>
        <w:t xml:space="preserve">Bangor </w:t>
      </w:r>
      <w:r w:rsidRPr="00F80D29">
        <w:rPr>
          <w:rFonts w:ascii="Times New Roman" w:hAnsi="Times New Roman" w:cs="Times New Roman"/>
          <w:i/>
          <w:sz w:val="24"/>
          <w:szCs w:val="24"/>
        </w:rPr>
        <w:t>University, LL57 2DG Wales, UK</w:t>
      </w:r>
    </w:p>
    <w:p w:rsidR="003843C3" w:rsidRPr="00F80D29" w:rsidRDefault="003843C3" w:rsidP="003843C3">
      <w:pPr>
        <w:pStyle w:val="PreformattatoHTML"/>
        <w:spacing w:line="360" w:lineRule="auto"/>
        <w:ind w:left="567" w:hanging="567"/>
        <w:jc w:val="center"/>
        <w:rPr>
          <w:rFonts w:ascii="Times New Roman" w:hAnsi="Times New Roman" w:cs="Times New Roman"/>
          <w:sz w:val="28"/>
          <w:szCs w:val="28"/>
        </w:rPr>
      </w:pPr>
    </w:p>
    <w:p w:rsidR="005B5C87" w:rsidRPr="00F80D29" w:rsidRDefault="005B5C87" w:rsidP="002D1E3D">
      <w:pPr>
        <w:autoSpaceDE w:val="0"/>
        <w:autoSpaceDN w:val="0"/>
        <w:adjustRightInd w:val="0"/>
        <w:spacing w:after="0" w:line="360" w:lineRule="auto"/>
        <w:jc w:val="center"/>
        <w:rPr>
          <w:rFonts w:ascii="Times New Roman" w:hAnsi="Times New Roman"/>
          <w:b/>
          <w:sz w:val="24"/>
          <w:szCs w:val="24"/>
        </w:rPr>
      </w:pPr>
      <w:r w:rsidRPr="00F80D29">
        <w:rPr>
          <w:rFonts w:ascii="Times New Roman" w:hAnsi="Times New Roman"/>
          <w:b/>
          <w:sz w:val="24"/>
          <w:szCs w:val="24"/>
        </w:rPr>
        <w:t>Abstract</w:t>
      </w:r>
    </w:p>
    <w:p w:rsidR="004A4515" w:rsidRPr="00F80D29" w:rsidRDefault="00D2707C" w:rsidP="004A4515">
      <w:pPr>
        <w:autoSpaceDE w:val="0"/>
        <w:autoSpaceDN w:val="0"/>
        <w:adjustRightInd w:val="0"/>
        <w:spacing w:after="0" w:line="480" w:lineRule="auto"/>
        <w:jc w:val="both"/>
        <w:rPr>
          <w:rFonts w:ascii="Times New Roman" w:hAnsi="Times New Roman"/>
          <w:sz w:val="24"/>
          <w:szCs w:val="24"/>
        </w:rPr>
      </w:pPr>
      <w:r w:rsidRPr="00F80D29">
        <w:rPr>
          <w:rFonts w:ascii="Times New Roman" w:hAnsi="Times New Roman"/>
          <w:sz w:val="24"/>
          <w:szCs w:val="24"/>
        </w:rPr>
        <w:t>This paper investigates household access to consumer credit in the UK using information on 58,642 households between 2001 and 2009.  Employing a treatment effect</w:t>
      </w:r>
      <w:r w:rsidR="00D75EF4" w:rsidRPr="00F80D29">
        <w:rPr>
          <w:rFonts w:ascii="Times New Roman" w:hAnsi="Times New Roman"/>
          <w:sz w:val="24"/>
          <w:szCs w:val="24"/>
        </w:rPr>
        <w:t>s</w:t>
      </w:r>
      <w:r w:rsidRPr="00F80D29">
        <w:rPr>
          <w:rFonts w:ascii="Times New Roman" w:hAnsi="Times New Roman"/>
          <w:sz w:val="24"/>
          <w:szCs w:val="24"/>
        </w:rPr>
        <w:t xml:space="preserve"> model and propensity score matching, we find that non-white households are less likely to have financing compared to white households</w:t>
      </w:r>
      <w:r w:rsidR="00E76697" w:rsidRPr="00F80D29">
        <w:rPr>
          <w:rFonts w:ascii="Times New Roman" w:hAnsi="Times New Roman"/>
          <w:sz w:val="24"/>
          <w:szCs w:val="24"/>
        </w:rPr>
        <w:t>.</w:t>
      </w:r>
      <w:r w:rsidRPr="00F80D29">
        <w:rPr>
          <w:rFonts w:ascii="Times New Roman" w:hAnsi="Times New Roman"/>
          <w:sz w:val="24"/>
          <w:szCs w:val="24"/>
        </w:rPr>
        <w:t xml:space="preserve"> </w:t>
      </w:r>
      <w:r w:rsidR="004A4515" w:rsidRPr="00F80D29">
        <w:rPr>
          <w:rFonts w:ascii="Times New Roman" w:hAnsi="Times New Roman"/>
          <w:sz w:val="24"/>
          <w:szCs w:val="24"/>
        </w:rPr>
        <w:t xml:space="preserve">We also find that even if </w:t>
      </w:r>
      <w:r w:rsidR="005C4390" w:rsidRPr="00F80D29">
        <w:rPr>
          <w:rFonts w:ascii="Times New Roman" w:hAnsi="Times New Roman"/>
          <w:sz w:val="24"/>
          <w:szCs w:val="24"/>
        </w:rPr>
        <w:t>they</w:t>
      </w:r>
      <w:r w:rsidR="004A4515" w:rsidRPr="00F80D29">
        <w:rPr>
          <w:rFonts w:ascii="Times New Roman" w:hAnsi="Times New Roman"/>
          <w:sz w:val="24"/>
          <w:szCs w:val="24"/>
        </w:rPr>
        <w:t xml:space="preserve"> obtain financing the intensity of borrowing is lower</w:t>
      </w:r>
      <w:r w:rsidR="005C4390" w:rsidRPr="00F80D29">
        <w:rPr>
          <w:rFonts w:ascii="Times New Roman" w:hAnsi="Times New Roman"/>
          <w:sz w:val="24"/>
          <w:szCs w:val="24"/>
        </w:rPr>
        <w:t xml:space="preserve"> than</w:t>
      </w:r>
      <w:r w:rsidR="004A4515" w:rsidRPr="00F80D29">
        <w:rPr>
          <w:rFonts w:ascii="Times New Roman" w:hAnsi="Times New Roman"/>
          <w:sz w:val="24"/>
          <w:szCs w:val="24"/>
        </w:rPr>
        <w:t xml:space="preserve"> </w:t>
      </w:r>
      <w:r w:rsidR="00E76697" w:rsidRPr="00F80D29">
        <w:rPr>
          <w:rFonts w:ascii="Times New Roman" w:hAnsi="Times New Roman"/>
          <w:sz w:val="24"/>
          <w:szCs w:val="24"/>
        </w:rPr>
        <w:t xml:space="preserve">for </w:t>
      </w:r>
      <w:r w:rsidR="004A4515" w:rsidRPr="00F80D29">
        <w:rPr>
          <w:rFonts w:ascii="Times New Roman" w:hAnsi="Times New Roman"/>
          <w:sz w:val="24"/>
          <w:szCs w:val="24"/>
        </w:rPr>
        <w:t xml:space="preserve">white households.  </w:t>
      </w:r>
      <w:r w:rsidR="005C4390" w:rsidRPr="00F80D29">
        <w:rPr>
          <w:rFonts w:ascii="Times New Roman" w:hAnsi="Times New Roman"/>
          <w:sz w:val="24"/>
          <w:szCs w:val="24"/>
        </w:rPr>
        <w:t>Overall, n</w:t>
      </w:r>
      <w:r w:rsidR="004A4515" w:rsidRPr="00F80D29">
        <w:rPr>
          <w:rFonts w:ascii="Times New Roman" w:hAnsi="Times New Roman"/>
          <w:sz w:val="24"/>
          <w:szCs w:val="24"/>
        </w:rPr>
        <w:t>on-white households seem to be in a weaker position to access consumer credit</w:t>
      </w:r>
      <w:r w:rsidR="005C4390" w:rsidRPr="00F80D29">
        <w:rPr>
          <w:rFonts w:ascii="Times New Roman" w:hAnsi="Times New Roman"/>
          <w:sz w:val="24"/>
          <w:szCs w:val="24"/>
        </w:rPr>
        <w:t xml:space="preserve"> in the UK</w:t>
      </w:r>
      <w:r w:rsidR="004A4515" w:rsidRPr="00F80D29">
        <w:rPr>
          <w:rFonts w:ascii="Times New Roman" w:hAnsi="Times New Roman"/>
          <w:sz w:val="24"/>
          <w:szCs w:val="24"/>
        </w:rPr>
        <w:t>.</w:t>
      </w:r>
    </w:p>
    <w:p w:rsidR="00600060" w:rsidRPr="00F80D29" w:rsidRDefault="00600060" w:rsidP="00600060">
      <w:pPr>
        <w:autoSpaceDE w:val="0"/>
        <w:autoSpaceDN w:val="0"/>
        <w:adjustRightInd w:val="0"/>
        <w:spacing w:after="0" w:line="480" w:lineRule="auto"/>
        <w:jc w:val="both"/>
        <w:rPr>
          <w:rFonts w:ascii="Times New Roman" w:hAnsi="Times New Roman"/>
          <w:sz w:val="24"/>
          <w:szCs w:val="24"/>
        </w:rPr>
      </w:pPr>
    </w:p>
    <w:p w:rsidR="005B5C87" w:rsidRPr="00F80D29" w:rsidRDefault="005B5C87" w:rsidP="00600060">
      <w:pPr>
        <w:spacing w:after="0" w:line="480" w:lineRule="auto"/>
        <w:rPr>
          <w:rFonts w:ascii="Times New Roman" w:hAnsi="Times New Roman"/>
          <w:sz w:val="24"/>
          <w:szCs w:val="24"/>
        </w:rPr>
      </w:pPr>
      <w:r w:rsidRPr="00F80D29">
        <w:rPr>
          <w:rFonts w:ascii="Times New Roman" w:hAnsi="Times New Roman"/>
          <w:sz w:val="24"/>
        </w:rPr>
        <w:t xml:space="preserve">JEL classification: D14, </w:t>
      </w:r>
      <w:r w:rsidR="00173A2B" w:rsidRPr="00F80D29">
        <w:rPr>
          <w:rFonts w:ascii="Times New Roman" w:hAnsi="Times New Roman"/>
          <w:sz w:val="24"/>
        </w:rPr>
        <w:t xml:space="preserve">J14, </w:t>
      </w:r>
      <w:r w:rsidRPr="00F80D29">
        <w:rPr>
          <w:rFonts w:ascii="Times New Roman" w:hAnsi="Times New Roman"/>
          <w:sz w:val="24"/>
        </w:rPr>
        <w:t>G21</w:t>
      </w:r>
    </w:p>
    <w:p w:rsidR="005B5C87" w:rsidRPr="00F80D29" w:rsidRDefault="005B5C87" w:rsidP="00600060">
      <w:pPr>
        <w:spacing w:after="0" w:line="480" w:lineRule="auto"/>
        <w:rPr>
          <w:rFonts w:ascii="Times New Roman" w:hAnsi="Times New Roman"/>
          <w:color w:val="000000"/>
          <w:sz w:val="24"/>
          <w:szCs w:val="24"/>
        </w:rPr>
      </w:pPr>
      <w:r w:rsidRPr="00F80D29">
        <w:rPr>
          <w:rFonts w:ascii="Times New Roman" w:hAnsi="Times New Roman"/>
          <w:sz w:val="24"/>
          <w:szCs w:val="24"/>
        </w:rPr>
        <w:t xml:space="preserve">Keywords: </w:t>
      </w:r>
      <w:r w:rsidR="00C02A9E" w:rsidRPr="00F80D29">
        <w:rPr>
          <w:rFonts w:ascii="Times New Roman" w:hAnsi="Times New Roman"/>
          <w:sz w:val="24"/>
          <w:szCs w:val="24"/>
        </w:rPr>
        <w:t xml:space="preserve">Consumer Credit, </w:t>
      </w:r>
      <w:r w:rsidR="009858A7" w:rsidRPr="00F80D29">
        <w:rPr>
          <w:rFonts w:ascii="Times New Roman" w:hAnsi="Times New Roman"/>
          <w:sz w:val="24"/>
          <w:szCs w:val="24"/>
        </w:rPr>
        <w:t>Financial Exclusion, Racial Origin</w:t>
      </w:r>
      <w:r w:rsidR="00C02A9E" w:rsidRPr="00F80D29" w:rsidDel="00C02A9E">
        <w:rPr>
          <w:rFonts w:ascii="Times New Roman" w:hAnsi="Times New Roman"/>
          <w:color w:val="000000"/>
          <w:sz w:val="24"/>
          <w:szCs w:val="24"/>
        </w:rPr>
        <w:t xml:space="preserve"> </w:t>
      </w:r>
    </w:p>
    <w:p w:rsidR="00600060" w:rsidRPr="00F80D29" w:rsidRDefault="00600060" w:rsidP="00600060">
      <w:pPr>
        <w:spacing w:after="0" w:line="480" w:lineRule="auto"/>
        <w:rPr>
          <w:rFonts w:ascii="Times New Roman" w:hAnsi="Times New Roman"/>
          <w:color w:val="000000"/>
          <w:sz w:val="24"/>
          <w:szCs w:val="24"/>
        </w:rPr>
      </w:pPr>
    </w:p>
    <w:p w:rsidR="009A6ED8" w:rsidRPr="00F80D29" w:rsidRDefault="005B5C87" w:rsidP="0028681E">
      <w:pPr>
        <w:spacing w:after="0" w:line="360" w:lineRule="auto"/>
        <w:rPr>
          <w:rFonts w:ascii="Times New Roman" w:hAnsi="Times New Roman"/>
          <w:sz w:val="24"/>
          <w:szCs w:val="24"/>
        </w:rPr>
      </w:pPr>
      <w:r w:rsidRPr="00F80D29">
        <w:rPr>
          <w:rFonts w:ascii="Times New Roman" w:hAnsi="Times New Roman"/>
          <w:sz w:val="24"/>
          <w:szCs w:val="24"/>
          <w:vertAlign w:val="superscript"/>
        </w:rPr>
        <w:t xml:space="preserve">a </w:t>
      </w:r>
      <w:r w:rsidRPr="00F80D29">
        <w:rPr>
          <w:rFonts w:ascii="Times New Roman" w:hAnsi="Times New Roman"/>
          <w:sz w:val="24"/>
          <w:szCs w:val="24"/>
        </w:rPr>
        <w:t>Corres</w:t>
      </w:r>
      <w:r w:rsidR="00233AB0" w:rsidRPr="00F80D29">
        <w:rPr>
          <w:rFonts w:ascii="Times New Roman" w:hAnsi="Times New Roman"/>
          <w:sz w:val="24"/>
          <w:szCs w:val="24"/>
        </w:rPr>
        <w:t xml:space="preserve">ponding author, University of Hull, </w:t>
      </w:r>
      <w:r w:rsidRPr="00F80D29">
        <w:rPr>
          <w:rFonts w:ascii="Times New Roman" w:hAnsi="Times New Roman"/>
          <w:sz w:val="24"/>
          <w:szCs w:val="24"/>
        </w:rPr>
        <w:t xml:space="preserve">Business School, Cottingham Road, Hull, HU6 7RX, United Kingdom; </w:t>
      </w:r>
      <w:hyperlink r:id="rId9" w:history="1">
        <w:r w:rsidRPr="00F80D29">
          <w:rPr>
            <w:rFonts w:ascii="Times New Roman" w:hAnsi="Times New Roman"/>
            <w:sz w:val="24"/>
            <w:szCs w:val="24"/>
          </w:rPr>
          <w:t>Tel:+44(0)</w:t>
        </w:r>
      </w:hyperlink>
      <w:r w:rsidRPr="00F80D29">
        <w:rPr>
          <w:rFonts w:ascii="Times New Roman" w:hAnsi="Times New Roman"/>
          <w:sz w:val="24"/>
          <w:szCs w:val="24"/>
        </w:rPr>
        <w:t xml:space="preserve"> 1482 463310; email: </w:t>
      </w:r>
      <w:hyperlink r:id="rId10" w:history="1">
        <w:r w:rsidRPr="00F80D29">
          <w:rPr>
            <w:rStyle w:val="Collegamentoipertestuale"/>
            <w:rFonts w:ascii="Times New Roman" w:hAnsi="Times New Roman"/>
            <w:sz w:val="24"/>
            <w:szCs w:val="24"/>
          </w:rPr>
          <w:t>a.kara@hull.ac.uk</w:t>
        </w:r>
      </w:hyperlink>
      <w:r w:rsidRPr="00F80D29">
        <w:rPr>
          <w:rFonts w:ascii="Times New Roman" w:hAnsi="Times New Roman"/>
          <w:sz w:val="24"/>
          <w:szCs w:val="24"/>
        </w:rPr>
        <w:t>.</w:t>
      </w:r>
    </w:p>
    <w:p w:rsidR="009858A7" w:rsidRPr="00F80D29" w:rsidRDefault="009858A7" w:rsidP="009858A7">
      <w:pPr>
        <w:spacing w:after="0" w:line="360" w:lineRule="auto"/>
        <w:rPr>
          <w:rFonts w:ascii="Times New Roman" w:hAnsi="Times New Roman"/>
          <w:sz w:val="24"/>
          <w:szCs w:val="24"/>
        </w:rPr>
      </w:pPr>
      <w:r w:rsidRPr="00F80D29">
        <w:rPr>
          <w:rFonts w:ascii="Times New Roman" w:hAnsi="Times New Roman"/>
          <w:sz w:val="30"/>
          <w:szCs w:val="30"/>
          <w:vertAlign w:val="superscript"/>
        </w:rPr>
        <w:t>*</w:t>
      </w:r>
      <w:r w:rsidRPr="00F80D29">
        <w:rPr>
          <w:rFonts w:ascii="Times New Roman" w:hAnsi="Times New Roman"/>
          <w:sz w:val="24"/>
          <w:szCs w:val="24"/>
        </w:rPr>
        <w:t>The authors would like to thank The Rt Hon Andrew Stunell MP</w:t>
      </w:r>
      <w:r w:rsidR="005F76EE">
        <w:rPr>
          <w:rFonts w:ascii="Times New Roman" w:hAnsi="Times New Roman"/>
          <w:sz w:val="24"/>
          <w:szCs w:val="24"/>
        </w:rPr>
        <w:t>,</w:t>
      </w:r>
      <w:r w:rsidRPr="00F80D29">
        <w:rPr>
          <w:rFonts w:ascii="Times New Roman" w:hAnsi="Times New Roman"/>
          <w:sz w:val="24"/>
          <w:szCs w:val="24"/>
        </w:rPr>
        <w:t xml:space="preserve"> Robert de Young </w:t>
      </w:r>
      <w:r w:rsidR="005F76EE">
        <w:rPr>
          <w:rFonts w:ascii="Times New Roman" w:hAnsi="Times New Roman"/>
          <w:sz w:val="24"/>
          <w:szCs w:val="24"/>
        </w:rPr>
        <w:t xml:space="preserve">and two anonymous referees for their </w:t>
      </w:r>
      <w:r w:rsidRPr="00F80D29">
        <w:rPr>
          <w:rFonts w:ascii="Times New Roman" w:hAnsi="Times New Roman"/>
          <w:sz w:val="24"/>
          <w:szCs w:val="24"/>
        </w:rPr>
        <w:t xml:space="preserve">valuable and </w:t>
      </w:r>
      <w:r w:rsidR="005F76EE">
        <w:rPr>
          <w:rFonts w:ascii="Times New Roman" w:hAnsi="Times New Roman"/>
          <w:sz w:val="24"/>
          <w:szCs w:val="24"/>
        </w:rPr>
        <w:t>insightful comments. As usual, all errors, of course, rest with the authors.</w:t>
      </w:r>
      <w:r w:rsidRPr="00F80D29">
        <w:rPr>
          <w:rFonts w:ascii="Times New Roman" w:hAnsi="Times New Roman"/>
          <w:sz w:val="24"/>
          <w:szCs w:val="24"/>
        </w:rPr>
        <w:t xml:space="preserve"> </w:t>
      </w:r>
    </w:p>
    <w:p w:rsidR="00E76697" w:rsidRPr="00F80D29" w:rsidRDefault="00E76697" w:rsidP="009858A7">
      <w:pPr>
        <w:spacing w:after="0" w:line="360" w:lineRule="auto"/>
        <w:rPr>
          <w:rFonts w:ascii="Times New Roman" w:hAnsi="Times New Roman"/>
          <w:sz w:val="24"/>
          <w:szCs w:val="24"/>
        </w:rPr>
      </w:pPr>
    </w:p>
    <w:p w:rsidR="00E76697" w:rsidRPr="00F80D29" w:rsidRDefault="00E76697" w:rsidP="009858A7">
      <w:pPr>
        <w:spacing w:after="0" w:line="360" w:lineRule="auto"/>
        <w:rPr>
          <w:rFonts w:ascii="Times New Roman" w:hAnsi="Times New Roman"/>
          <w:sz w:val="24"/>
          <w:szCs w:val="24"/>
        </w:rPr>
      </w:pPr>
    </w:p>
    <w:p w:rsidR="005B5C87" w:rsidRPr="00F80D29" w:rsidRDefault="00C32772" w:rsidP="001D6D37">
      <w:pPr>
        <w:pStyle w:val="Paragrafoelenco"/>
        <w:numPr>
          <w:ilvl w:val="0"/>
          <w:numId w:val="4"/>
        </w:numPr>
        <w:spacing w:after="0" w:line="480" w:lineRule="auto"/>
        <w:jc w:val="both"/>
        <w:rPr>
          <w:rFonts w:ascii="Times New Roman" w:hAnsi="Times New Roman"/>
          <w:b/>
          <w:sz w:val="24"/>
          <w:szCs w:val="24"/>
        </w:rPr>
      </w:pPr>
      <w:r w:rsidRPr="00F80D29">
        <w:rPr>
          <w:rFonts w:ascii="Times New Roman" w:hAnsi="Times New Roman"/>
          <w:b/>
          <w:sz w:val="24"/>
          <w:szCs w:val="24"/>
        </w:rPr>
        <w:t>INTRODUCTION</w:t>
      </w:r>
    </w:p>
    <w:p w:rsidR="00EB71E2" w:rsidRPr="00473C61" w:rsidRDefault="00EB71E2" w:rsidP="001D6D37">
      <w:pPr>
        <w:spacing w:after="0" w:line="480" w:lineRule="auto"/>
        <w:jc w:val="both"/>
        <w:rPr>
          <w:rFonts w:ascii="Times New Roman" w:hAnsi="Times New Roman"/>
          <w:sz w:val="24"/>
          <w:szCs w:val="24"/>
        </w:rPr>
      </w:pPr>
    </w:p>
    <w:p w:rsidR="007C3488" w:rsidRPr="00473C61" w:rsidRDefault="00D838D2" w:rsidP="00477092">
      <w:pPr>
        <w:autoSpaceDE w:val="0"/>
        <w:autoSpaceDN w:val="0"/>
        <w:adjustRightInd w:val="0"/>
        <w:spacing w:after="0" w:line="480" w:lineRule="auto"/>
        <w:jc w:val="both"/>
        <w:rPr>
          <w:rFonts w:ascii="Times New Roman" w:hAnsi="Times New Roman"/>
          <w:sz w:val="24"/>
          <w:szCs w:val="24"/>
          <w:lang w:val="en-GB" w:eastAsia="en-GB"/>
        </w:rPr>
      </w:pPr>
      <w:r w:rsidRPr="00473C61">
        <w:rPr>
          <w:rFonts w:ascii="Times New Roman" w:hAnsi="Times New Roman"/>
          <w:sz w:val="24"/>
          <w:szCs w:val="24"/>
        </w:rPr>
        <w:t>Access to basic</w:t>
      </w:r>
      <w:r w:rsidR="00F909DC" w:rsidRPr="00473C61">
        <w:rPr>
          <w:rFonts w:ascii="Times New Roman" w:eastAsiaTheme="minorEastAsia" w:hAnsi="Times New Roman"/>
          <w:sz w:val="24"/>
          <w:szCs w:val="24"/>
          <w:lang w:eastAsia="en-GB"/>
        </w:rPr>
        <w:t xml:space="preserve"> f</w:t>
      </w:r>
      <w:r w:rsidR="00ED3498" w:rsidRPr="00473C61">
        <w:rPr>
          <w:rFonts w:ascii="Times New Roman" w:eastAsiaTheme="minorEastAsia" w:hAnsi="Times New Roman"/>
          <w:sz w:val="24"/>
          <w:szCs w:val="24"/>
          <w:lang w:eastAsia="en-GB"/>
        </w:rPr>
        <w:t xml:space="preserve">inancial products and services </w:t>
      </w:r>
      <w:r w:rsidRPr="00473C61">
        <w:rPr>
          <w:rFonts w:ascii="Times New Roman" w:eastAsiaTheme="minorEastAsia" w:hAnsi="Times New Roman"/>
          <w:sz w:val="24"/>
          <w:szCs w:val="24"/>
          <w:lang w:eastAsia="en-GB"/>
        </w:rPr>
        <w:t xml:space="preserve">is widely regarded as an </w:t>
      </w:r>
      <w:r w:rsidR="00F909DC" w:rsidRPr="00473C61">
        <w:rPr>
          <w:rFonts w:ascii="Times New Roman" w:eastAsiaTheme="minorEastAsia" w:hAnsi="Times New Roman"/>
          <w:sz w:val="24"/>
          <w:szCs w:val="24"/>
          <w:lang w:eastAsia="en-GB"/>
        </w:rPr>
        <w:t xml:space="preserve">economic </w:t>
      </w:r>
      <w:r w:rsidR="00ED3498" w:rsidRPr="00473C61">
        <w:rPr>
          <w:rFonts w:ascii="Times New Roman" w:eastAsiaTheme="minorEastAsia" w:hAnsi="Times New Roman"/>
          <w:sz w:val="24"/>
          <w:szCs w:val="24"/>
          <w:lang w:eastAsia="en-GB"/>
        </w:rPr>
        <w:t>necessit</w:t>
      </w:r>
      <w:r w:rsidRPr="00473C61">
        <w:rPr>
          <w:rFonts w:ascii="Times New Roman" w:eastAsiaTheme="minorEastAsia" w:hAnsi="Times New Roman"/>
          <w:sz w:val="24"/>
          <w:szCs w:val="24"/>
          <w:lang w:eastAsia="en-GB"/>
        </w:rPr>
        <w:t>y</w:t>
      </w:r>
      <w:r w:rsidR="00F909DC" w:rsidRPr="00473C61">
        <w:rPr>
          <w:rFonts w:ascii="Times New Roman" w:eastAsiaTheme="minorEastAsia" w:hAnsi="Times New Roman"/>
          <w:sz w:val="24"/>
          <w:szCs w:val="24"/>
          <w:lang w:eastAsia="en-GB"/>
        </w:rPr>
        <w:t xml:space="preserve">, </w:t>
      </w:r>
      <w:r w:rsidR="00F053CF" w:rsidRPr="00473C61">
        <w:rPr>
          <w:rFonts w:ascii="Times New Roman" w:eastAsiaTheme="minorEastAsia" w:hAnsi="Times New Roman"/>
          <w:sz w:val="24"/>
          <w:szCs w:val="24"/>
          <w:lang w:eastAsia="en-GB"/>
        </w:rPr>
        <w:t xml:space="preserve">yet </w:t>
      </w:r>
      <w:r w:rsidRPr="00473C61">
        <w:rPr>
          <w:rFonts w:ascii="Times New Roman" w:eastAsiaTheme="minorEastAsia" w:hAnsi="Times New Roman"/>
          <w:sz w:val="24"/>
          <w:szCs w:val="24"/>
          <w:lang w:eastAsia="en-GB"/>
        </w:rPr>
        <w:t xml:space="preserve">the ability of households to obtain a bank account or credit product varies dramatically across the globe </w:t>
      </w:r>
      <w:r w:rsidR="00865E7E" w:rsidRPr="00473C61">
        <w:rPr>
          <w:rFonts w:ascii="Times New Roman" w:eastAsiaTheme="minorEastAsia" w:hAnsi="Times New Roman"/>
          <w:sz w:val="24"/>
          <w:szCs w:val="24"/>
          <w:lang w:eastAsia="en-GB"/>
        </w:rPr>
        <w:t xml:space="preserve">(Demirguc-Kunt and Klapper, </w:t>
      </w:r>
      <w:r w:rsidR="00746A53" w:rsidRPr="00473C61">
        <w:rPr>
          <w:rFonts w:ascii="Times New Roman" w:eastAsiaTheme="minorEastAsia" w:hAnsi="Times New Roman"/>
          <w:sz w:val="24"/>
          <w:szCs w:val="24"/>
          <w:lang w:eastAsia="en-GB"/>
        </w:rPr>
        <w:t>2012</w:t>
      </w:r>
      <w:r w:rsidR="00926F3F" w:rsidRPr="00473C61">
        <w:rPr>
          <w:rFonts w:ascii="Times New Roman" w:eastAsiaTheme="minorEastAsia" w:hAnsi="Times New Roman"/>
          <w:sz w:val="24"/>
          <w:szCs w:val="24"/>
          <w:lang w:eastAsia="en-GB"/>
        </w:rPr>
        <w:t>a</w:t>
      </w:r>
      <w:r w:rsidR="00A90FFE" w:rsidRPr="00473C61">
        <w:rPr>
          <w:rFonts w:ascii="Times New Roman" w:eastAsiaTheme="minorEastAsia" w:hAnsi="Times New Roman"/>
          <w:sz w:val="24"/>
          <w:szCs w:val="24"/>
          <w:lang w:eastAsia="en-GB"/>
        </w:rPr>
        <w:t>;</w:t>
      </w:r>
      <w:r w:rsidR="00746A53" w:rsidRPr="00473C61">
        <w:rPr>
          <w:rFonts w:ascii="Times New Roman" w:eastAsiaTheme="minorEastAsia" w:hAnsi="Times New Roman"/>
          <w:sz w:val="24"/>
          <w:szCs w:val="24"/>
          <w:lang w:eastAsia="en-GB"/>
        </w:rPr>
        <w:t xml:space="preserve"> </w:t>
      </w:r>
      <w:r w:rsidR="00262056" w:rsidRPr="00473C61">
        <w:rPr>
          <w:rFonts w:ascii="Times New Roman" w:eastAsiaTheme="minorEastAsia" w:hAnsi="Times New Roman"/>
          <w:sz w:val="24"/>
          <w:szCs w:val="24"/>
          <w:lang w:eastAsia="en-GB"/>
        </w:rPr>
        <w:t>World Bank</w:t>
      </w:r>
      <w:r w:rsidR="00A90FFE" w:rsidRPr="00473C61">
        <w:rPr>
          <w:rFonts w:ascii="Times New Roman" w:eastAsiaTheme="minorEastAsia" w:hAnsi="Times New Roman"/>
          <w:sz w:val="24"/>
          <w:szCs w:val="24"/>
          <w:lang w:eastAsia="en-GB"/>
        </w:rPr>
        <w:t>,</w:t>
      </w:r>
      <w:r w:rsidR="00262056" w:rsidRPr="00473C61">
        <w:rPr>
          <w:rFonts w:ascii="Times New Roman" w:eastAsiaTheme="minorEastAsia" w:hAnsi="Times New Roman"/>
          <w:sz w:val="24"/>
          <w:szCs w:val="24"/>
          <w:lang w:eastAsia="en-GB"/>
        </w:rPr>
        <w:t xml:space="preserve"> 2014</w:t>
      </w:r>
      <w:r w:rsidR="00865E7E" w:rsidRPr="00473C61">
        <w:rPr>
          <w:rFonts w:ascii="Times New Roman" w:eastAsiaTheme="minorEastAsia" w:hAnsi="Times New Roman"/>
          <w:sz w:val="24"/>
          <w:szCs w:val="24"/>
          <w:lang w:eastAsia="en-GB"/>
        </w:rPr>
        <w:t>)</w:t>
      </w:r>
      <w:r w:rsidR="00ED3498" w:rsidRPr="00473C61">
        <w:rPr>
          <w:rFonts w:ascii="Times New Roman" w:eastAsiaTheme="minorEastAsia" w:hAnsi="Times New Roman"/>
          <w:sz w:val="24"/>
          <w:szCs w:val="24"/>
          <w:lang w:eastAsia="en-GB"/>
        </w:rPr>
        <w:t xml:space="preserve">. </w:t>
      </w:r>
      <w:r w:rsidR="00F053CF" w:rsidRPr="00473C61">
        <w:rPr>
          <w:rFonts w:ascii="Times New Roman" w:eastAsiaTheme="minorEastAsia" w:hAnsi="Times New Roman"/>
          <w:sz w:val="24"/>
          <w:szCs w:val="24"/>
          <w:lang w:eastAsia="en-GB"/>
        </w:rPr>
        <w:t xml:space="preserve">In the UK, policy concerns about access to finance </w:t>
      </w:r>
      <w:r w:rsidRPr="00473C61">
        <w:rPr>
          <w:rFonts w:ascii="Times New Roman" w:eastAsiaTheme="minorEastAsia" w:hAnsi="Times New Roman"/>
          <w:sz w:val="24"/>
          <w:szCs w:val="24"/>
          <w:lang w:eastAsia="en-GB"/>
        </w:rPr>
        <w:t>have</w:t>
      </w:r>
      <w:r w:rsidR="00280797" w:rsidRPr="00473C61">
        <w:rPr>
          <w:rFonts w:ascii="Times New Roman" w:eastAsiaTheme="minorEastAsia" w:hAnsi="Times New Roman"/>
          <w:sz w:val="24"/>
          <w:szCs w:val="24"/>
          <w:lang w:eastAsia="en-GB"/>
        </w:rPr>
        <w:t xml:space="preserve"> also</w:t>
      </w:r>
      <w:r w:rsidR="00F053CF" w:rsidRPr="00473C61">
        <w:rPr>
          <w:rFonts w:ascii="Times New Roman" w:eastAsiaTheme="minorEastAsia" w:hAnsi="Times New Roman"/>
          <w:sz w:val="24"/>
          <w:szCs w:val="24"/>
          <w:lang w:eastAsia="en-GB"/>
        </w:rPr>
        <w:t xml:space="preserve"> </w:t>
      </w:r>
      <w:r w:rsidRPr="00473C61">
        <w:rPr>
          <w:rFonts w:ascii="Times New Roman" w:eastAsiaTheme="minorEastAsia" w:hAnsi="Times New Roman"/>
          <w:sz w:val="24"/>
          <w:szCs w:val="24"/>
          <w:lang w:eastAsia="en-GB"/>
        </w:rPr>
        <w:t xml:space="preserve">been </w:t>
      </w:r>
      <w:r w:rsidR="00F053CF" w:rsidRPr="00473C61">
        <w:rPr>
          <w:rFonts w:ascii="Times New Roman" w:eastAsiaTheme="minorEastAsia" w:hAnsi="Times New Roman"/>
          <w:sz w:val="24"/>
          <w:szCs w:val="24"/>
          <w:lang w:eastAsia="en-GB"/>
        </w:rPr>
        <w:t xml:space="preserve">highlighted by the </w:t>
      </w:r>
      <w:r w:rsidR="00F053CF" w:rsidRPr="00473C61">
        <w:rPr>
          <w:rFonts w:ascii="Times New Roman" w:hAnsi="Times New Roman"/>
          <w:sz w:val="24"/>
          <w:szCs w:val="24"/>
        </w:rPr>
        <w:t xml:space="preserve">Deputy Prime Minister who put the banks under the spotlight by accusing them of excluding certain racial minorities from financial services (Clegg, 2011). </w:t>
      </w:r>
      <w:r w:rsidR="00AB6153" w:rsidRPr="00473C61">
        <w:rPr>
          <w:rFonts w:ascii="Times New Roman" w:eastAsiaTheme="minorEastAsia" w:hAnsi="Times New Roman"/>
          <w:sz w:val="24"/>
          <w:szCs w:val="24"/>
          <w:lang w:eastAsia="en-GB"/>
        </w:rPr>
        <w:t xml:space="preserve">The inability to </w:t>
      </w:r>
      <w:r w:rsidR="00F053CF" w:rsidRPr="00473C61">
        <w:rPr>
          <w:rFonts w:ascii="Times New Roman" w:eastAsiaTheme="minorEastAsia" w:hAnsi="Times New Roman"/>
          <w:sz w:val="24"/>
          <w:szCs w:val="24"/>
          <w:lang w:eastAsia="en-GB"/>
        </w:rPr>
        <w:t xml:space="preserve">obtain </w:t>
      </w:r>
      <w:r w:rsidR="00AB6153" w:rsidRPr="00473C61">
        <w:rPr>
          <w:rFonts w:ascii="Times New Roman" w:eastAsiaTheme="minorEastAsia" w:hAnsi="Times New Roman"/>
          <w:sz w:val="24"/>
          <w:szCs w:val="24"/>
          <w:lang w:eastAsia="en-GB"/>
        </w:rPr>
        <w:t xml:space="preserve">financial </w:t>
      </w:r>
      <w:r w:rsidR="00F053CF" w:rsidRPr="00473C61">
        <w:rPr>
          <w:rFonts w:ascii="Times New Roman" w:eastAsiaTheme="minorEastAsia" w:hAnsi="Times New Roman"/>
          <w:sz w:val="24"/>
          <w:szCs w:val="24"/>
          <w:lang w:eastAsia="en-GB"/>
        </w:rPr>
        <w:t xml:space="preserve">products and </w:t>
      </w:r>
      <w:r w:rsidR="00AB6153" w:rsidRPr="00473C61">
        <w:rPr>
          <w:rFonts w:ascii="Times New Roman" w:eastAsiaTheme="minorEastAsia" w:hAnsi="Times New Roman"/>
          <w:sz w:val="24"/>
          <w:szCs w:val="24"/>
          <w:lang w:eastAsia="en-GB"/>
        </w:rPr>
        <w:t>services</w:t>
      </w:r>
      <w:r w:rsidR="007428A8" w:rsidRPr="00473C61">
        <w:rPr>
          <w:rFonts w:ascii="Times New Roman" w:eastAsiaTheme="minorEastAsia" w:hAnsi="Times New Roman"/>
          <w:sz w:val="24"/>
          <w:szCs w:val="24"/>
          <w:lang w:eastAsia="en-GB"/>
        </w:rPr>
        <w:t xml:space="preserve"> (or ‘having no access to financial products and services’)</w:t>
      </w:r>
      <w:r w:rsidR="00AB6153" w:rsidRPr="00473C61">
        <w:rPr>
          <w:rFonts w:ascii="Times New Roman" w:eastAsiaTheme="minorEastAsia" w:hAnsi="Times New Roman"/>
          <w:sz w:val="24"/>
          <w:szCs w:val="24"/>
          <w:lang w:eastAsia="en-GB"/>
        </w:rPr>
        <w:t xml:space="preserve"> is termed financial exclusion (Simpson and Buckland, 2009).  Financial exclusion serves as a detriment to affected individuals because they encounter difficulties in participating fully in </w:t>
      </w:r>
      <w:r w:rsidR="00310D92" w:rsidRPr="00473C61">
        <w:rPr>
          <w:rFonts w:ascii="Times New Roman" w:eastAsiaTheme="minorEastAsia" w:hAnsi="Times New Roman"/>
          <w:sz w:val="24"/>
          <w:szCs w:val="24"/>
          <w:lang w:eastAsia="en-GB"/>
        </w:rPr>
        <w:t>everyday transactions</w:t>
      </w:r>
      <w:r w:rsidR="00865E7E" w:rsidRPr="00473C61">
        <w:rPr>
          <w:rFonts w:ascii="Times New Roman" w:eastAsiaTheme="minorEastAsia" w:hAnsi="Times New Roman"/>
          <w:sz w:val="24"/>
          <w:szCs w:val="24"/>
          <w:lang w:eastAsia="en-GB"/>
        </w:rPr>
        <w:t xml:space="preserve"> and this can act as a drag on economic and social progress </w:t>
      </w:r>
      <w:r w:rsidR="00F053CF" w:rsidRPr="00473C61">
        <w:rPr>
          <w:rFonts w:ascii="Times New Roman" w:eastAsiaTheme="minorEastAsia" w:hAnsi="Times New Roman"/>
          <w:sz w:val="24"/>
          <w:szCs w:val="24"/>
          <w:lang w:eastAsia="en-GB"/>
        </w:rPr>
        <w:t>(</w:t>
      </w:r>
      <w:r w:rsidR="00865E7E" w:rsidRPr="00473C61">
        <w:rPr>
          <w:rFonts w:ascii="Times New Roman" w:eastAsiaTheme="minorEastAsia" w:hAnsi="Times New Roman"/>
          <w:sz w:val="24"/>
          <w:szCs w:val="24"/>
          <w:lang w:eastAsia="en-GB"/>
        </w:rPr>
        <w:t>Demirguc-Kunt and Klapper</w:t>
      </w:r>
      <w:r w:rsidR="00F053CF" w:rsidRPr="00473C61">
        <w:rPr>
          <w:rFonts w:ascii="Times New Roman" w:eastAsiaTheme="minorEastAsia" w:hAnsi="Times New Roman"/>
          <w:sz w:val="24"/>
          <w:szCs w:val="24"/>
          <w:lang w:eastAsia="en-GB"/>
        </w:rPr>
        <w:t>,</w:t>
      </w:r>
      <w:r w:rsidR="00AD0AC3" w:rsidRPr="00473C61">
        <w:rPr>
          <w:rFonts w:ascii="Times New Roman" w:eastAsiaTheme="minorEastAsia" w:hAnsi="Times New Roman"/>
          <w:sz w:val="24"/>
          <w:szCs w:val="24"/>
          <w:lang w:eastAsia="en-GB"/>
        </w:rPr>
        <w:t xml:space="preserve"> </w:t>
      </w:r>
      <w:r w:rsidR="00865E7E" w:rsidRPr="00473C61">
        <w:rPr>
          <w:rFonts w:ascii="Times New Roman" w:eastAsiaTheme="minorEastAsia" w:hAnsi="Times New Roman"/>
          <w:sz w:val="24"/>
          <w:szCs w:val="24"/>
          <w:lang w:eastAsia="en-GB"/>
        </w:rPr>
        <w:t>2013)</w:t>
      </w:r>
      <w:r w:rsidR="00AD0AC3" w:rsidRPr="00473C61">
        <w:rPr>
          <w:rFonts w:ascii="Times New Roman" w:eastAsiaTheme="minorEastAsia" w:hAnsi="Times New Roman"/>
          <w:sz w:val="24"/>
          <w:szCs w:val="24"/>
          <w:lang w:eastAsia="en-GB"/>
        </w:rPr>
        <w:t>.</w:t>
      </w:r>
      <w:r w:rsidR="00865E7E" w:rsidRPr="00473C61">
        <w:rPr>
          <w:rFonts w:ascii="Times New Roman" w:eastAsiaTheme="minorEastAsia" w:hAnsi="Times New Roman"/>
          <w:sz w:val="24"/>
          <w:szCs w:val="24"/>
          <w:lang w:eastAsia="en-GB"/>
        </w:rPr>
        <w:t xml:space="preserve"> </w:t>
      </w:r>
      <w:r w:rsidRPr="00473C61">
        <w:rPr>
          <w:rFonts w:ascii="Times New Roman" w:eastAsiaTheme="minorEastAsia" w:hAnsi="Times New Roman"/>
          <w:sz w:val="24"/>
          <w:szCs w:val="24"/>
          <w:lang w:eastAsia="en-GB"/>
        </w:rPr>
        <w:t>F</w:t>
      </w:r>
      <w:r w:rsidR="00AB6153" w:rsidRPr="00473C61">
        <w:rPr>
          <w:rFonts w:ascii="Times New Roman" w:eastAsiaTheme="minorEastAsia" w:hAnsi="Times New Roman"/>
          <w:sz w:val="24"/>
          <w:szCs w:val="24"/>
          <w:lang w:eastAsia="en-GB"/>
        </w:rPr>
        <w:t xml:space="preserve">ew countries have been </w:t>
      </w:r>
      <w:r w:rsidR="00865E7E" w:rsidRPr="00473C61">
        <w:rPr>
          <w:rFonts w:ascii="Times New Roman" w:eastAsiaTheme="minorEastAsia" w:hAnsi="Times New Roman"/>
          <w:sz w:val="24"/>
          <w:szCs w:val="24"/>
          <w:lang w:eastAsia="en-GB"/>
        </w:rPr>
        <w:t xml:space="preserve">close to </w:t>
      </w:r>
      <w:r w:rsidR="00AD0AC3" w:rsidRPr="00473C61">
        <w:rPr>
          <w:rFonts w:ascii="Times New Roman" w:eastAsiaTheme="minorEastAsia" w:hAnsi="Times New Roman"/>
          <w:sz w:val="24"/>
          <w:szCs w:val="24"/>
          <w:lang w:eastAsia="en-GB"/>
        </w:rPr>
        <w:t>achieving</w:t>
      </w:r>
      <w:r w:rsidR="00AB6153" w:rsidRPr="00473C61">
        <w:rPr>
          <w:rFonts w:ascii="Times New Roman" w:eastAsiaTheme="minorEastAsia" w:hAnsi="Times New Roman"/>
          <w:sz w:val="24"/>
          <w:szCs w:val="24"/>
          <w:lang w:eastAsia="en-GB"/>
        </w:rPr>
        <w:t xml:space="preserve"> universal financial inclusion (Beck and Demirgüc-Kunt, 2008)</w:t>
      </w:r>
      <w:r w:rsidR="00C7090A" w:rsidRPr="00473C61">
        <w:rPr>
          <w:rFonts w:ascii="Times New Roman" w:eastAsiaTheme="minorEastAsia" w:hAnsi="Times New Roman"/>
          <w:sz w:val="24"/>
          <w:szCs w:val="24"/>
          <w:lang w:eastAsia="en-GB"/>
        </w:rPr>
        <w:t xml:space="preserve"> and this is a policy concern as i</w:t>
      </w:r>
      <w:r w:rsidR="00AB6153" w:rsidRPr="00473C61">
        <w:rPr>
          <w:rFonts w:ascii="Times New Roman" w:eastAsiaTheme="minorEastAsia" w:hAnsi="Times New Roman"/>
          <w:sz w:val="24"/>
          <w:szCs w:val="24"/>
          <w:lang w:eastAsia="en-GB"/>
        </w:rPr>
        <w:t>t has been argued that there is a causal link between financial and social exclusion (Claessens, 2006; Gloukoviezoff, 2007; Carbo et al.</w:t>
      </w:r>
      <w:r w:rsidR="0013055C" w:rsidRPr="00473C61">
        <w:rPr>
          <w:rFonts w:ascii="Times New Roman" w:eastAsiaTheme="minorEastAsia" w:hAnsi="Times New Roman"/>
          <w:sz w:val="24"/>
          <w:szCs w:val="24"/>
          <w:lang w:eastAsia="en-GB"/>
        </w:rPr>
        <w:t>,</w:t>
      </w:r>
      <w:r w:rsidR="00AB6153" w:rsidRPr="00473C61">
        <w:rPr>
          <w:rFonts w:ascii="Times New Roman" w:eastAsiaTheme="minorEastAsia" w:hAnsi="Times New Roman"/>
          <w:sz w:val="24"/>
          <w:szCs w:val="24"/>
          <w:lang w:eastAsia="en-GB"/>
        </w:rPr>
        <w:t xml:space="preserve"> 2007)</w:t>
      </w:r>
      <w:r w:rsidR="00C7090A" w:rsidRPr="00473C61">
        <w:rPr>
          <w:rFonts w:ascii="Times New Roman" w:eastAsiaTheme="minorEastAsia" w:hAnsi="Times New Roman"/>
          <w:sz w:val="24"/>
          <w:szCs w:val="24"/>
          <w:lang w:eastAsia="en-GB"/>
        </w:rPr>
        <w:t>. T</w:t>
      </w:r>
      <w:r w:rsidR="00AB6153" w:rsidRPr="00473C61">
        <w:rPr>
          <w:rFonts w:ascii="Times New Roman" w:eastAsiaTheme="minorEastAsia" w:hAnsi="Times New Roman"/>
          <w:sz w:val="24"/>
          <w:szCs w:val="24"/>
          <w:lang w:eastAsia="en-GB"/>
        </w:rPr>
        <w:t xml:space="preserve">hose who lack access to financial services </w:t>
      </w:r>
      <w:r w:rsidRPr="00473C61">
        <w:rPr>
          <w:rFonts w:ascii="Times New Roman" w:eastAsiaTheme="minorEastAsia" w:hAnsi="Times New Roman"/>
          <w:sz w:val="24"/>
          <w:szCs w:val="24"/>
          <w:lang w:eastAsia="en-GB"/>
        </w:rPr>
        <w:t xml:space="preserve">may be </w:t>
      </w:r>
      <w:r w:rsidR="00AB6153" w:rsidRPr="00473C61">
        <w:rPr>
          <w:rFonts w:ascii="Times New Roman" w:eastAsiaTheme="minorEastAsia" w:hAnsi="Times New Roman"/>
          <w:sz w:val="24"/>
          <w:szCs w:val="24"/>
          <w:lang w:eastAsia="en-GB"/>
        </w:rPr>
        <w:t xml:space="preserve">excluded in other areas of society.  </w:t>
      </w:r>
      <w:r w:rsidR="007C3488" w:rsidRPr="00473C61">
        <w:rPr>
          <w:rFonts w:ascii="Times New Roman" w:hAnsi="Times New Roman"/>
          <w:sz w:val="24"/>
          <w:szCs w:val="24"/>
          <w:lang w:val="en-GB" w:eastAsia="en-GB"/>
        </w:rPr>
        <w:t>Empirical studies on financial exclusion</w:t>
      </w:r>
      <w:r w:rsidR="00C7090A" w:rsidRPr="00473C61">
        <w:rPr>
          <w:rFonts w:ascii="Times New Roman" w:hAnsi="Times New Roman"/>
          <w:sz w:val="24"/>
          <w:szCs w:val="24"/>
          <w:lang w:val="en-GB" w:eastAsia="en-GB"/>
        </w:rPr>
        <w:t xml:space="preserve"> </w:t>
      </w:r>
      <w:r w:rsidR="007C3488" w:rsidRPr="00473C61">
        <w:rPr>
          <w:rFonts w:ascii="Times New Roman" w:hAnsi="Times New Roman"/>
          <w:sz w:val="24"/>
          <w:szCs w:val="24"/>
          <w:lang w:val="en-GB" w:eastAsia="en-GB"/>
        </w:rPr>
        <w:t xml:space="preserve">(Hogarth et al., 2005 on the US; Devlin, 2005 and </w:t>
      </w:r>
      <w:r w:rsidR="007C3488" w:rsidRPr="00473C61">
        <w:rPr>
          <w:rFonts w:ascii="Times New Roman" w:hAnsi="Times New Roman"/>
          <w:sz w:val="24"/>
          <w:szCs w:val="24"/>
        </w:rPr>
        <w:t xml:space="preserve">Kempson and Whyley, 1999 on the UK; </w:t>
      </w:r>
      <w:r w:rsidR="007C3488" w:rsidRPr="00473C61">
        <w:rPr>
          <w:rFonts w:ascii="Times New Roman" w:hAnsi="Times New Roman"/>
          <w:sz w:val="24"/>
          <w:szCs w:val="24"/>
          <w:lang w:val="en-GB" w:eastAsia="en-GB"/>
        </w:rPr>
        <w:t xml:space="preserve">Simpson and Buckland, 2009 for Canada; </w:t>
      </w:r>
      <w:r w:rsidR="007C3488" w:rsidRPr="00473C61">
        <w:rPr>
          <w:rFonts w:ascii="Times New Roman" w:hAnsi="Times New Roman"/>
          <w:sz w:val="24"/>
          <w:szCs w:val="24"/>
        </w:rPr>
        <w:t xml:space="preserve">Carbo et al., 2007 on the </w:t>
      </w:r>
      <w:r w:rsidR="007C3488" w:rsidRPr="00473C61">
        <w:rPr>
          <w:rFonts w:ascii="Times New Roman" w:hAnsi="Times New Roman"/>
          <w:sz w:val="24"/>
          <w:szCs w:val="24"/>
          <w:lang w:val="en-GB" w:eastAsia="en-GB"/>
        </w:rPr>
        <w:t>EU</w:t>
      </w:r>
      <w:r w:rsidR="00262056" w:rsidRPr="00473C61">
        <w:rPr>
          <w:rFonts w:ascii="Times New Roman" w:hAnsi="Times New Roman"/>
          <w:sz w:val="24"/>
          <w:szCs w:val="24"/>
          <w:lang w:val="en-GB" w:eastAsia="en-GB"/>
        </w:rPr>
        <w:t>, Demirguc-Kunt and Klapper, 2013</w:t>
      </w:r>
      <w:r w:rsidR="00280797" w:rsidRPr="00473C61">
        <w:rPr>
          <w:rFonts w:ascii="Times New Roman" w:hAnsi="Times New Roman"/>
          <w:sz w:val="24"/>
          <w:szCs w:val="24"/>
          <w:lang w:val="en-GB" w:eastAsia="en-GB"/>
        </w:rPr>
        <w:t xml:space="preserve"> across 148 countries</w:t>
      </w:r>
      <w:r w:rsidR="007C3488" w:rsidRPr="00473C61">
        <w:rPr>
          <w:rFonts w:ascii="Times New Roman" w:hAnsi="Times New Roman"/>
          <w:sz w:val="24"/>
          <w:szCs w:val="24"/>
          <w:lang w:val="en-GB" w:eastAsia="en-GB"/>
        </w:rPr>
        <w:t>) typically find that it is determined by factors such as levels of income, net worth, education, employment status, age, and ethnicity</w:t>
      </w:r>
      <w:r w:rsidR="007C3488" w:rsidRPr="00473C61">
        <w:rPr>
          <w:rStyle w:val="Rimandonotaapidipagina"/>
          <w:rFonts w:ascii="Times New Roman" w:hAnsi="Times New Roman"/>
          <w:sz w:val="24"/>
          <w:szCs w:val="24"/>
        </w:rPr>
        <w:footnoteReference w:id="1"/>
      </w:r>
      <w:r w:rsidR="007C3488" w:rsidRPr="00473C61">
        <w:rPr>
          <w:rFonts w:ascii="Times New Roman" w:hAnsi="Times New Roman"/>
          <w:sz w:val="24"/>
          <w:szCs w:val="24"/>
          <w:lang w:val="en-GB" w:eastAsia="en-GB"/>
        </w:rPr>
        <w:t xml:space="preserve">. </w:t>
      </w:r>
      <w:r w:rsidR="00280797" w:rsidRPr="00473C61">
        <w:rPr>
          <w:rFonts w:ascii="Times New Roman" w:hAnsi="Times New Roman"/>
          <w:sz w:val="24"/>
          <w:szCs w:val="24"/>
          <w:lang w:val="en-GB" w:eastAsia="en-GB"/>
        </w:rPr>
        <w:t>In advanced economies, t</w:t>
      </w:r>
      <w:r w:rsidR="00C7090A" w:rsidRPr="00473C61">
        <w:rPr>
          <w:rFonts w:ascii="Times New Roman" w:hAnsi="Times New Roman"/>
          <w:sz w:val="24"/>
          <w:szCs w:val="24"/>
          <w:lang w:val="en-GB" w:eastAsia="en-GB"/>
        </w:rPr>
        <w:t>he f</w:t>
      </w:r>
      <w:r w:rsidRPr="00473C61">
        <w:rPr>
          <w:rFonts w:ascii="Times New Roman" w:hAnsi="Times New Roman"/>
          <w:sz w:val="24"/>
          <w:szCs w:val="24"/>
          <w:lang w:val="en-GB" w:eastAsia="en-GB"/>
        </w:rPr>
        <w:t xml:space="preserve">inancially excluded </w:t>
      </w:r>
      <w:r w:rsidR="00BC1733" w:rsidRPr="00473C61">
        <w:rPr>
          <w:rFonts w:ascii="Times New Roman" w:hAnsi="Times New Roman"/>
          <w:sz w:val="24"/>
          <w:szCs w:val="24"/>
          <w:lang w:val="en-GB" w:eastAsia="en-GB"/>
        </w:rPr>
        <w:t xml:space="preserve">have been found to </w:t>
      </w:r>
      <w:r w:rsidRPr="00473C61">
        <w:rPr>
          <w:rFonts w:ascii="Times New Roman" w:hAnsi="Times New Roman"/>
          <w:sz w:val="24"/>
          <w:szCs w:val="24"/>
          <w:lang w:val="en-GB" w:eastAsia="en-GB"/>
        </w:rPr>
        <w:t>include a disproportionate number of ethnic minority households</w:t>
      </w:r>
      <w:r w:rsidRPr="00473C61" w:rsidDel="00D838D2">
        <w:rPr>
          <w:rFonts w:ascii="Times New Roman" w:hAnsi="Times New Roman"/>
          <w:sz w:val="24"/>
          <w:szCs w:val="24"/>
          <w:lang w:val="en-GB" w:eastAsia="en-GB"/>
        </w:rPr>
        <w:t xml:space="preserve"> </w:t>
      </w:r>
      <w:r w:rsidR="000503E5" w:rsidRPr="00473C61">
        <w:rPr>
          <w:rFonts w:ascii="Times New Roman" w:hAnsi="Times New Roman"/>
          <w:sz w:val="24"/>
          <w:szCs w:val="24"/>
          <w:lang w:val="en-GB" w:eastAsia="en-GB"/>
        </w:rPr>
        <w:t>(</w:t>
      </w:r>
      <w:r w:rsidR="007C3488" w:rsidRPr="00473C61">
        <w:rPr>
          <w:rFonts w:ascii="Times New Roman" w:hAnsi="Times New Roman"/>
          <w:sz w:val="24"/>
          <w:szCs w:val="24"/>
          <w:lang w:val="en-GB" w:eastAsia="en-GB"/>
        </w:rPr>
        <w:t>Kempson and Whyley</w:t>
      </w:r>
      <w:r w:rsidR="000503E5" w:rsidRPr="00473C61">
        <w:rPr>
          <w:rFonts w:ascii="Times New Roman" w:hAnsi="Times New Roman"/>
          <w:sz w:val="24"/>
          <w:szCs w:val="24"/>
          <w:lang w:val="en-GB" w:eastAsia="en-GB"/>
        </w:rPr>
        <w:t>,</w:t>
      </w:r>
      <w:r w:rsidR="007C3488" w:rsidRPr="00473C61">
        <w:rPr>
          <w:rFonts w:ascii="Times New Roman" w:hAnsi="Times New Roman"/>
          <w:sz w:val="24"/>
          <w:szCs w:val="24"/>
          <w:lang w:val="en-GB" w:eastAsia="en-GB"/>
        </w:rPr>
        <w:t xml:space="preserve"> </w:t>
      </w:r>
      <w:r w:rsidR="000503E5" w:rsidRPr="00473C61">
        <w:rPr>
          <w:rFonts w:ascii="Times New Roman" w:hAnsi="Times New Roman"/>
          <w:sz w:val="24"/>
          <w:szCs w:val="24"/>
          <w:lang w:val="en-GB" w:eastAsia="en-GB"/>
        </w:rPr>
        <w:t>1</w:t>
      </w:r>
      <w:r w:rsidR="007C3488" w:rsidRPr="00473C61">
        <w:rPr>
          <w:rFonts w:ascii="Times New Roman" w:hAnsi="Times New Roman"/>
          <w:sz w:val="24"/>
          <w:szCs w:val="24"/>
          <w:lang w:val="en-GB" w:eastAsia="en-GB"/>
        </w:rPr>
        <w:t>999</w:t>
      </w:r>
      <w:r w:rsidR="000503E5" w:rsidRPr="00473C61">
        <w:rPr>
          <w:rFonts w:ascii="Times New Roman" w:hAnsi="Times New Roman"/>
          <w:sz w:val="24"/>
          <w:szCs w:val="24"/>
          <w:lang w:val="en-GB" w:eastAsia="en-GB"/>
        </w:rPr>
        <w:t>; Kahn, 2008</w:t>
      </w:r>
      <w:r w:rsidR="00BA168F" w:rsidRPr="00473C61">
        <w:rPr>
          <w:rFonts w:ascii="Times New Roman" w:hAnsi="Times New Roman"/>
          <w:sz w:val="24"/>
          <w:szCs w:val="24"/>
          <w:lang w:val="en-GB" w:eastAsia="en-GB"/>
        </w:rPr>
        <w:t>; Finney and Kempson, 2009</w:t>
      </w:r>
      <w:r w:rsidR="000503E5" w:rsidRPr="00473C61">
        <w:rPr>
          <w:rFonts w:ascii="Times New Roman" w:hAnsi="Times New Roman"/>
          <w:sz w:val="24"/>
          <w:szCs w:val="24"/>
          <w:lang w:val="en-GB" w:eastAsia="en-GB"/>
        </w:rPr>
        <w:t>)</w:t>
      </w:r>
      <w:r w:rsidR="007C3488" w:rsidRPr="00473C61">
        <w:rPr>
          <w:rFonts w:ascii="Times New Roman" w:hAnsi="Times New Roman"/>
          <w:sz w:val="24"/>
          <w:szCs w:val="24"/>
          <w:lang w:val="en-GB" w:eastAsia="en-GB"/>
        </w:rPr>
        <w:t>.</w:t>
      </w:r>
    </w:p>
    <w:p w:rsidR="00BA168F" w:rsidRPr="00473C61" w:rsidRDefault="00BA168F" w:rsidP="00477092">
      <w:pPr>
        <w:autoSpaceDE w:val="0"/>
        <w:autoSpaceDN w:val="0"/>
        <w:adjustRightInd w:val="0"/>
        <w:spacing w:after="0" w:line="480" w:lineRule="auto"/>
        <w:jc w:val="both"/>
        <w:rPr>
          <w:rFonts w:ascii="Times New Roman" w:hAnsi="Times New Roman"/>
          <w:sz w:val="24"/>
          <w:szCs w:val="24"/>
          <w:lang w:val="en-GB" w:eastAsia="en-GB"/>
        </w:rPr>
      </w:pPr>
    </w:p>
    <w:p w:rsidR="000503E5" w:rsidRPr="00473C61" w:rsidRDefault="00DD174E" w:rsidP="00C73DCC">
      <w:pPr>
        <w:autoSpaceDE w:val="0"/>
        <w:autoSpaceDN w:val="0"/>
        <w:adjustRightInd w:val="0"/>
        <w:spacing w:after="0" w:line="480" w:lineRule="auto"/>
        <w:jc w:val="both"/>
        <w:rPr>
          <w:rFonts w:ascii="Times New Roman" w:eastAsiaTheme="minorEastAsia" w:hAnsi="Times New Roman"/>
          <w:sz w:val="24"/>
          <w:szCs w:val="24"/>
          <w:lang w:val="en-GB" w:eastAsia="en-GB"/>
        </w:rPr>
      </w:pPr>
      <w:r w:rsidRPr="00473C61">
        <w:rPr>
          <w:rFonts w:ascii="Times New Roman" w:hAnsi="Times New Roman"/>
          <w:sz w:val="24"/>
          <w:szCs w:val="24"/>
          <w:lang w:val="en-GB" w:eastAsia="en-GB"/>
        </w:rPr>
        <w:lastRenderedPageBreak/>
        <w:t xml:space="preserve">While households may be excluded from access to financial services because they do not fulfil minimum </w:t>
      </w:r>
      <w:r w:rsidR="002217EE" w:rsidRPr="00473C61">
        <w:rPr>
          <w:rFonts w:ascii="Times New Roman" w:hAnsi="Times New Roman"/>
          <w:sz w:val="24"/>
          <w:szCs w:val="24"/>
          <w:lang w:val="en-GB" w:eastAsia="en-GB"/>
        </w:rPr>
        <w:t>economic</w:t>
      </w:r>
      <w:r w:rsidR="00C7090A" w:rsidRPr="00473C61">
        <w:rPr>
          <w:rFonts w:ascii="Times New Roman" w:hAnsi="Times New Roman"/>
          <w:sz w:val="24"/>
          <w:szCs w:val="24"/>
          <w:lang w:val="en-GB" w:eastAsia="en-GB"/>
        </w:rPr>
        <w:t xml:space="preserve"> </w:t>
      </w:r>
      <w:r w:rsidRPr="00473C61">
        <w:rPr>
          <w:rFonts w:ascii="Times New Roman" w:hAnsi="Times New Roman"/>
          <w:sz w:val="24"/>
          <w:szCs w:val="24"/>
          <w:lang w:val="en-GB" w:eastAsia="en-GB"/>
        </w:rPr>
        <w:t>criteria (insufficient income, net worth and so on) it may also be because lenders discriminate between different types of borrowers</w:t>
      </w:r>
      <w:r w:rsidR="00233590" w:rsidRPr="00473C61">
        <w:rPr>
          <w:rFonts w:ascii="Times New Roman" w:hAnsi="Times New Roman"/>
          <w:sz w:val="24"/>
          <w:szCs w:val="24"/>
          <w:lang w:val="en-GB" w:eastAsia="en-GB"/>
        </w:rPr>
        <w:t xml:space="preserve"> on non-economic grounds</w:t>
      </w:r>
      <w:r w:rsidRPr="00473C61">
        <w:rPr>
          <w:rFonts w:ascii="Times New Roman" w:hAnsi="Times New Roman"/>
          <w:sz w:val="24"/>
          <w:szCs w:val="24"/>
          <w:lang w:val="en-GB" w:eastAsia="en-GB"/>
        </w:rPr>
        <w:t xml:space="preserve">. This behaviour has been widely investigated in the US, particularly in the </w:t>
      </w:r>
      <w:r w:rsidR="002217EE" w:rsidRPr="00473C61">
        <w:rPr>
          <w:rFonts w:ascii="Times New Roman" w:hAnsi="Times New Roman"/>
          <w:sz w:val="24"/>
          <w:szCs w:val="24"/>
          <w:lang w:val="en-GB" w:eastAsia="en-GB"/>
        </w:rPr>
        <w:t xml:space="preserve">context of access to </w:t>
      </w:r>
      <w:r w:rsidRPr="00473C61">
        <w:rPr>
          <w:rFonts w:ascii="Times New Roman" w:hAnsi="Times New Roman"/>
          <w:sz w:val="24"/>
          <w:szCs w:val="24"/>
          <w:lang w:val="en-GB" w:eastAsia="en-GB"/>
        </w:rPr>
        <w:t>housing finance</w:t>
      </w:r>
      <w:r w:rsidR="00361264" w:rsidRPr="00473C61">
        <w:rPr>
          <w:rFonts w:ascii="Times New Roman" w:hAnsi="Times New Roman"/>
          <w:sz w:val="24"/>
          <w:szCs w:val="24"/>
          <w:lang w:val="en-GB" w:eastAsia="en-GB"/>
        </w:rPr>
        <w:t>.</w:t>
      </w:r>
      <w:r w:rsidR="00C73DCC" w:rsidRPr="00473C61">
        <w:rPr>
          <w:rFonts w:ascii="Times New Roman" w:hAnsi="Times New Roman"/>
          <w:sz w:val="24"/>
          <w:szCs w:val="24"/>
          <w:lang w:val="en-GB" w:eastAsia="en-GB"/>
        </w:rPr>
        <w:t xml:space="preserve"> </w:t>
      </w:r>
      <w:r w:rsidR="003C2C58" w:rsidRPr="00473C61">
        <w:rPr>
          <w:rFonts w:ascii="Times New Roman" w:hAnsi="Times New Roman"/>
          <w:sz w:val="24"/>
          <w:szCs w:val="24"/>
          <w:lang w:val="en-GB" w:eastAsia="en-GB"/>
        </w:rPr>
        <w:t xml:space="preserve">Evidence shows that </w:t>
      </w:r>
      <w:r w:rsidR="00767752" w:rsidRPr="00473C61">
        <w:rPr>
          <w:rFonts w:ascii="Times New Roman" w:hAnsi="Times New Roman"/>
          <w:sz w:val="24"/>
          <w:szCs w:val="24"/>
          <w:lang w:val="en-GB" w:eastAsia="en-GB"/>
        </w:rPr>
        <w:t xml:space="preserve">ethnic </w:t>
      </w:r>
      <w:r w:rsidR="003C2C58" w:rsidRPr="00473C61">
        <w:rPr>
          <w:rFonts w:ascii="Times New Roman" w:hAnsi="Times New Roman"/>
          <w:sz w:val="24"/>
          <w:szCs w:val="24"/>
          <w:lang w:val="en-GB" w:eastAsia="en-GB"/>
        </w:rPr>
        <w:t>m</w:t>
      </w:r>
      <w:r w:rsidR="003C2C58" w:rsidRPr="00473C61">
        <w:rPr>
          <w:rFonts w:ascii="Times New Roman" w:eastAsiaTheme="minorEastAsia" w:hAnsi="Times New Roman"/>
          <w:sz w:val="24"/>
          <w:szCs w:val="24"/>
          <w:lang w:val="en-GB" w:eastAsia="en-GB"/>
        </w:rPr>
        <w:t>inorit</w:t>
      </w:r>
      <w:r w:rsidR="00293228" w:rsidRPr="00473C61">
        <w:rPr>
          <w:rFonts w:ascii="Times New Roman" w:eastAsiaTheme="minorEastAsia" w:hAnsi="Times New Roman"/>
          <w:sz w:val="24"/>
          <w:szCs w:val="24"/>
          <w:lang w:val="en-GB" w:eastAsia="en-GB"/>
        </w:rPr>
        <w:t>ies</w:t>
      </w:r>
      <w:r w:rsidR="003C2C58" w:rsidRPr="00473C61">
        <w:rPr>
          <w:rFonts w:ascii="Times New Roman" w:eastAsiaTheme="minorEastAsia" w:hAnsi="Times New Roman"/>
          <w:sz w:val="24"/>
          <w:szCs w:val="24"/>
          <w:lang w:val="en-GB" w:eastAsia="en-GB"/>
        </w:rPr>
        <w:t xml:space="preserve"> have less access to mortgage funding (Phillips-Patrick and Rossi, 1996; Siskin and Cupingood, 1996; Ross and Yinger, 1999) are more likely to be subject to predatory lending practices (Calem et al.</w:t>
      </w:r>
      <w:r w:rsidR="0013055C" w:rsidRPr="00473C61">
        <w:rPr>
          <w:rFonts w:ascii="Times New Roman" w:eastAsiaTheme="minorEastAsia" w:hAnsi="Times New Roman"/>
          <w:sz w:val="24"/>
          <w:szCs w:val="24"/>
          <w:lang w:val="en-GB" w:eastAsia="en-GB"/>
        </w:rPr>
        <w:t>,</w:t>
      </w:r>
      <w:r w:rsidR="003C2C58" w:rsidRPr="00473C61">
        <w:rPr>
          <w:rFonts w:ascii="Times New Roman" w:eastAsiaTheme="minorEastAsia" w:hAnsi="Times New Roman"/>
          <w:sz w:val="24"/>
          <w:szCs w:val="24"/>
          <w:lang w:val="en-GB" w:eastAsia="en-GB"/>
        </w:rPr>
        <w:t xml:space="preserve"> 2004; Williams et al.</w:t>
      </w:r>
      <w:r w:rsidR="0013055C" w:rsidRPr="00473C61">
        <w:rPr>
          <w:rFonts w:ascii="Times New Roman" w:eastAsiaTheme="minorEastAsia" w:hAnsi="Times New Roman"/>
          <w:sz w:val="24"/>
          <w:szCs w:val="24"/>
          <w:lang w:val="en-GB" w:eastAsia="en-GB"/>
        </w:rPr>
        <w:t>,</w:t>
      </w:r>
      <w:r w:rsidR="003C2C58" w:rsidRPr="00473C61">
        <w:rPr>
          <w:rFonts w:ascii="Times New Roman" w:eastAsiaTheme="minorEastAsia" w:hAnsi="Times New Roman"/>
          <w:sz w:val="24"/>
          <w:szCs w:val="24"/>
          <w:lang w:val="en-GB" w:eastAsia="en-GB"/>
        </w:rPr>
        <w:t xml:space="preserve"> 2005; Dymski, 2006), </w:t>
      </w:r>
      <w:r w:rsidR="00C73DCC" w:rsidRPr="00473C61">
        <w:rPr>
          <w:rFonts w:ascii="Times New Roman" w:eastAsiaTheme="minorEastAsia" w:hAnsi="Times New Roman"/>
          <w:sz w:val="24"/>
          <w:szCs w:val="24"/>
          <w:lang w:val="en-GB" w:eastAsia="en-GB"/>
        </w:rPr>
        <w:t xml:space="preserve">have higher mortgage application rejection rates </w:t>
      </w:r>
      <w:r w:rsidR="003C2C58" w:rsidRPr="00473C61">
        <w:rPr>
          <w:rFonts w:ascii="Times New Roman" w:eastAsiaTheme="minorEastAsia" w:hAnsi="Times New Roman"/>
          <w:sz w:val="24"/>
          <w:szCs w:val="24"/>
          <w:lang w:val="en-GB" w:eastAsia="en-GB"/>
        </w:rPr>
        <w:t xml:space="preserve">and </w:t>
      </w:r>
      <w:r w:rsidR="00C73DCC" w:rsidRPr="00473C61">
        <w:rPr>
          <w:rFonts w:ascii="Times New Roman" w:eastAsiaTheme="minorEastAsia" w:hAnsi="Times New Roman"/>
          <w:sz w:val="24"/>
          <w:szCs w:val="24"/>
          <w:lang w:val="en-GB" w:eastAsia="en-GB"/>
        </w:rPr>
        <w:t>are offered less attractive terms</w:t>
      </w:r>
      <w:r w:rsidR="003C2C58" w:rsidRPr="00473C61">
        <w:rPr>
          <w:rFonts w:ascii="Times New Roman" w:eastAsiaTheme="minorEastAsia" w:hAnsi="Times New Roman"/>
          <w:sz w:val="24"/>
          <w:szCs w:val="24"/>
          <w:lang w:val="en-GB" w:eastAsia="en-GB"/>
        </w:rPr>
        <w:t xml:space="preserve"> (Black et al., 1978; Munnell et al.</w:t>
      </w:r>
      <w:r w:rsidR="0013055C" w:rsidRPr="00473C61">
        <w:rPr>
          <w:rFonts w:ascii="Times New Roman" w:eastAsiaTheme="minorEastAsia" w:hAnsi="Times New Roman"/>
          <w:sz w:val="24"/>
          <w:szCs w:val="24"/>
          <w:lang w:val="en-GB" w:eastAsia="en-GB"/>
        </w:rPr>
        <w:t>,</w:t>
      </w:r>
      <w:r w:rsidR="003C2C58" w:rsidRPr="00473C61">
        <w:rPr>
          <w:rFonts w:ascii="Times New Roman" w:eastAsiaTheme="minorEastAsia" w:hAnsi="Times New Roman"/>
          <w:sz w:val="24"/>
          <w:szCs w:val="24"/>
          <w:lang w:val="en-GB" w:eastAsia="en-GB"/>
        </w:rPr>
        <w:t xml:space="preserve"> 1996; Ross and Yinger 1999, 2002), </w:t>
      </w:r>
      <w:r w:rsidR="00310D92" w:rsidRPr="00473C61">
        <w:rPr>
          <w:rFonts w:ascii="Times New Roman" w:eastAsiaTheme="minorEastAsia" w:hAnsi="Times New Roman"/>
          <w:sz w:val="24"/>
          <w:szCs w:val="24"/>
          <w:lang w:val="en-GB" w:eastAsia="en-GB"/>
        </w:rPr>
        <w:t xml:space="preserve">and </w:t>
      </w:r>
      <w:r w:rsidR="00293228" w:rsidRPr="00473C61">
        <w:rPr>
          <w:rFonts w:ascii="Times New Roman" w:eastAsiaTheme="minorEastAsia" w:hAnsi="Times New Roman"/>
          <w:sz w:val="24"/>
          <w:szCs w:val="24"/>
          <w:lang w:val="en-GB" w:eastAsia="en-GB"/>
        </w:rPr>
        <w:t>pay more (Oliver and Shapiro, 1997; Black et al., 2003; Courchane and Nickerson, 1997; Rosenblatt, 1999)</w:t>
      </w:r>
      <w:r w:rsidR="00C73DCC" w:rsidRPr="00473C61">
        <w:rPr>
          <w:rFonts w:ascii="Times New Roman" w:eastAsiaTheme="minorEastAsia" w:hAnsi="Times New Roman"/>
          <w:sz w:val="24"/>
          <w:szCs w:val="24"/>
          <w:lang w:val="en-GB" w:eastAsia="en-GB"/>
        </w:rPr>
        <w:t xml:space="preserve"> than whites with similar credit and other features. </w:t>
      </w:r>
      <w:r w:rsidR="000503E5" w:rsidRPr="00473C61">
        <w:rPr>
          <w:rFonts w:ascii="Times New Roman" w:eastAsiaTheme="minorEastAsia" w:hAnsi="Times New Roman"/>
          <w:sz w:val="24"/>
          <w:szCs w:val="24"/>
          <w:lang w:val="en-GB" w:eastAsia="en-GB"/>
        </w:rPr>
        <w:t xml:space="preserve">  Outside the mortgage market, studies on </w:t>
      </w:r>
      <w:r w:rsidR="00310D92" w:rsidRPr="00473C61">
        <w:rPr>
          <w:rFonts w:ascii="Times New Roman" w:eastAsiaTheme="minorEastAsia" w:hAnsi="Times New Roman"/>
          <w:sz w:val="24"/>
          <w:szCs w:val="24"/>
          <w:lang w:val="en-GB" w:eastAsia="en-GB"/>
        </w:rPr>
        <w:t>consumer credit ha</w:t>
      </w:r>
      <w:r w:rsidR="00245C55" w:rsidRPr="00473C61">
        <w:rPr>
          <w:rFonts w:ascii="Times New Roman" w:eastAsiaTheme="minorEastAsia" w:hAnsi="Times New Roman"/>
          <w:sz w:val="24"/>
          <w:szCs w:val="24"/>
          <w:lang w:val="en-GB" w:eastAsia="en-GB"/>
        </w:rPr>
        <w:t>ve</w:t>
      </w:r>
      <w:r w:rsidR="00310D92" w:rsidRPr="00473C61">
        <w:rPr>
          <w:rFonts w:ascii="Times New Roman" w:eastAsiaTheme="minorEastAsia" w:hAnsi="Times New Roman"/>
          <w:sz w:val="24"/>
          <w:szCs w:val="24"/>
          <w:lang w:val="en-GB" w:eastAsia="en-GB"/>
        </w:rPr>
        <w:t xml:space="preserve"> </w:t>
      </w:r>
      <w:r w:rsidR="000503E5" w:rsidRPr="00473C61">
        <w:rPr>
          <w:rFonts w:ascii="Times New Roman" w:eastAsiaTheme="minorEastAsia" w:hAnsi="Times New Roman"/>
          <w:sz w:val="24"/>
          <w:szCs w:val="24"/>
          <w:lang w:val="en-GB" w:eastAsia="en-GB"/>
        </w:rPr>
        <w:t>also found that loan approval rates are lower for minorities (Duca and Rosenthal, 1993; Edelberg, 2007; Lin, 2010).</w:t>
      </w:r>
      <w:r w:rsidR="00245C55" w:rsidRPr="00473C61">
        <w:rPr>
          <w:rFonts w:ascii="Times New Roman" w:eastAsiaTheme="minorEastAsia" w:hAnsi="Times New Roman"/>
          <w:sz w:val="24"/>
          <w:szCs w:val="24"/>
          <w:lang w:val="en-GB" w:eastAsia="en-GB"/>
        </w:rPr>
        <w:t xml:space="preserve"> </w:t>
      </w:r>
    </w:p>
    <w:p w:rsidR="00477092" w:rsidRPr="00473C61" w:rsidRDefault="00477092" w:rsidP="00477092">
      <w:pPr>
        <w:spacing w:after="0" w:line="480" w:lineRule="auto"/>
        <w:jc w:val="both"/>
        <w:rPr>
          <w:rFonts w:ascii="Times New Roman" w:hAnsi="Times New Roman"/>
          <w:sz w:val="24"/>
          <w:szCs w:val="24"/>
          <w:highlight w:val="yellow"/>
          <w:lang w:val="en-GB"/>
        </w:rPr>
      </w:pPr>
    </w:p>
    <w:p w:rsidR="00280797" w:rsidRPr="00473C61" w:rsidRDefault="00BC1733" w:rsidP="000503E5">
      <w:pPr>
        <w:spacing w:after="0" w:line="480" w:lineRule="auto"/>
        <w:jc w:val="both"/>
        <w:rPr>
          <w:rFonts w:ascii="Times New Roman" w:hAnsi="Times New Roman"/>
          <w:sz w:val="24"/>
          <w:szCs w:val="24"/>
        </w:rPr>
      </w:pPr>
      <w:r w:rsidRPr="00473C61">
        <w:rPr>
          <w:rFonts w:ascii="Times New Roman" w:hAnsi="Times New Roman"/>
          <w:sz w:val="24"/>
          <w:szCs w:val="24"/>
        </w:rPr>
        <w:t>This paper</w:t>
      </w:r>
      <w:r w:rsidR="007428A8" w:rsidRPr="00473C61">
        <w:rPr>
          <w:rFonts w:ascii="Times New Roman" w:hAnsi="Times New Roman"/>
          <w:sz w:val="24"/>
          <w:szCs w:val="24"/>
        </w:rPr>
        <w:t xml:space="preserve"> aims to contribute t</w:t>
      </w:r>
      <w:r w:rsidR="00E6387C" w:rsidRPr="00473C61">
        <w:rPr>
          <w:rFonts w:ascii="Times New Roman" w:hAnsi="Times New Roman"/>
          <w:sz w:val="24"/>
          <w:szCs w:val="24"/>
        </w:rPr>
        <w:t>o</w:t>
      </w:r>
      <w:r w:rsidR="007428A8" w:rsidRPr="00473C61">
        <w:rPr>
          <w:rFonts w:ascii="Times New Roman" w:hAnsi="Times New Roman"/>
          <w:sz w:val="24"/>
          <w:szCs w:val="24"/>
        </w:rPr>
        <w:t xml:space="preserve"> the aforementioned literature by</w:t>
      </w:r>
      <w:r w:rsidRPr="00473C61">
        <w:rPr>
          <w:rFonts w:ascii="Times New Roman" w:hAnsi="Times New Roman"/>
          <w:sz w:val="24"/>
          <w:szCs w:val="24"/>
        </w:rPr>
        <w:t xml:space="preserve"> </w:t>
      </w:r>
      <w:r w:rsidR="00477092" w:rsidRPr="00473C61">
        <w:rPr>
          <w:rFonts w:ascii="Times New Roman" w:hAnsi="Times New Roman"/>
          <w:sz w:val="24"/>
          <w:szCs w:val="24"/>
        </w:rPr>
        <w:t>investigat</w:t>
      </w:r>
      <w:r w:rsidR="007428A8" w:rsidRPr="00473C61">
        <w:rPr>
          <w:rFonts w:ascii="Times New Roman" w:hAnsi="Times New Roman"/>
          <w:sz w:val="24"/>
          <w:szCs w:val="24"/>
        </w:rPr>
        <w:t>ing</w:t>
      </w:r>
      <w:r w:rsidR="00477092" w:rsidRPr="00473C61">
        <w:rPr>
          <w:rFonts w:ascii="Times New Roman" w:hAnsi="Times New Roman"/>
          <w:sz w:val="24"/>
          <w:szCs w:val="24"/>
        </w:rPr>
        <w:t xml:space="preserve"> </w:t>
      </w:r>
      <w:r w:rsidR="00411749" w:rsidRPr="00473C61">
        <w:rPr>
          <w:rFonts w:ascii="Times New Roman" w:hAnsi="Times New Roman"/>
          <w:sz w:val="24"/>
          <w:szCs w:val="24"/>
        </w:rPr>
        <w:t xml:space="preserve">household </w:t>
      </w:r>
      <w:r w:rsidR="002217EE" w:rsidRPr="00473C61">
        <w:rPr>
          <w:rFonts w:ascii="Times New Roman" w:hAnsi="Times New Roman"/>
          <w:sz w:val="24"/>
          <w:szCs w:val="24"/>
        </w:rPr>
        <w:t xml:space="preserve">access to consumer credit </w:t>
      </w:r>
      <w:r w:rsidR="00477092" w:rsidRPr="00473C61">
        <w:rPr>
          <w:rFonts w:ascii="Times New Roman" w:hAnsi="Times New Roman"/>
          <w:sz w:val="24"/>
          <w:szCs w:val="24"/>
        </w:rPr>
        <w:t>in the UK</w:t>
      </w:r>
      <w:r w:rsidR="00F57E9C" w:rsidRPr="00473C61">
        <w:rPr>
          <w:rFonts w:ascii="Times New Roman" w:hAnsi="Times New Roman"/>
          <w:sz w:val="24"/>
          <w:szCs w:val="24"/>
        </w:rPr>
        <w:t xml:space="preserve"> using </w:t>
      </w:r>
      <w:r w:rsidR="00411749" w:rsidRPr="00473C61">
        <w:rPr>
          <w:rFonts w:ascii="Times New Roman" w:hAnsi="Times New Roman"/>
          <w:sz w:val="24"/>
          <w:szCs w:val="24"/>
        </w:rPr>
        <w:t xml:space="preserve">a unique </w:t>
      </w:r>
      <w:r w:rsidR="00F57E9C" w:rsidRPr="00473C61">
        <w:rPr>
          <w:rFonts w:ascii="Times New Roman" w:hAnsi="Times New Roman"/>
          <w:sz w:val="24"/>
          <w:szCs w:val="24"/>
        </w:rPr>
        <w:t>data</w:t>
      </w:r>
      <w:r w:rsidR="00411749" w:rsidRPr="00473C61">
        <w:rPr>
          <w:rFonts w:ascii="Times New Roman" w:hAnsi="Times New Roman"/>
          <w:sz w:val="24"/>
          <w:szCs w:val="24"/>
        </w:rPr>
        <w:t xml:space="preserve"> sample compiled from </w:t>
      </w:r>
      <w:r w:rsidR="00F57E9C" w:rsidRPr="00473C61">
        <w:rPr>
          <w:rFonts w:ascii="Times New Roman" w:hAnsi="Times New Roman"/>
          <w:sz w:val="24"/>
          <w:szCs w:val="24"/>
        </w:rPr>
        <w:t xml:space="preserve">the Living Costs and Food Survey gathered by the Office of National Statistics.  </w:t>
      </w:r>
      <w:r w:rsidR="00411749" w:rsidRPr="00473C61">
        <w:rPr>
          <w:rFonts w:ascii="Times New Roman" w:hAnsi="Times New Roman"/>
          <w:sz w:val="24"/>
          <w:szCs w:val="24"/>
        </w:rPr>
        <w:t xml:space="preserve">Our sample consists </w:t>
      </w:r>
      <w:r w:rsidR="00210B0A" w:rsidRPr="00473C61">
        <w:rPr>
          <w:rFonts w:ascii="Times New Roman" w:hAnsi="Times New Roman"/>
          <w:sz w:val="24"/>
          <w:szCs w:val="24"/>
        </w:rPr>
        <w:t xml:space="preserve">of </w:t>
      </w:r>
      <w:r w:rsidR="00411749" w:rsidRPr="00473C61">
        <w:rPr>
          <w:rFonts w:ascii="Times New Roman" w:hAnsi="Times New Roman"/>
          <w:sz w:val="24"/>
          <w:szCs w:val="24"/>
        </w:rPr>
        <w:t>information on the economic, social and demographic features of 5</w:t>
      </w:r>
      <w:r w:rsidR="00F57E9C" w:rsidRPr="00473C61">
        <w:rPr>
          <w:rFonts w:ascii="Times New Roman" w:hAnsi="Times New Roman"/>
          <w:sz w:val="24"/>
          <w:szCs w:val="24"/>
        </w:rPr>
        <w:t>8,642 households</w:t>
      </w:r>
      <w:r w:rsidR="00411749" w:rsidRPr="00473C61">
        <w:rPr>
          <w:rFonts w:ascii="Times New Roman" w:hAnsi="Times New Roman"/>
          <w:sz w:val="24"/>
          <w:szCs w:val="24"/>
        </w:rPr>
        <w:t xml:space="preserve"> between </w:t>
      </w:r>
      <w:r w:rsidR="00F57E9C" w:rsidRPr="00473C61">
        <w:rPr>
          <w:rFonts w:ascii="Times New Roman" w:hAnsi="Times New Roman"/>
          <w:sz w:val="24"/>
          <w:szCs w:val="24"/>
        </w:rPr>
        <w:t>2001 and 2009.</w:t>
      </w:r>
      <w:r w:rsidR="00477092" w:rsidRPr="00473C61">
        <w:rPr>
          <w:rFonts w:ascii="Times New Roman" w:hAnsi="Times New Roman"/>
          <w:sz w:val="24"/>
          <w:szCs w:val="24"/>
        </w:rPr>
        <w:t xml:space="preserve">  </w:t>
      </w:r>
      <w:r w:rsidR="00411749" w:rsidRPr="00473C61">
        <w:rPr>
          <w:rFonts w:ascii="Times New Roman" w:hAnsi="Times New Roman"/>
          <w:sz w:val="24"/>
          <w:szCs w:val="24"/>
        </w:rPr>
        <w:t xml:space="preserve">Using contemporary modeling approaches and our unique sample we seek to </w:t>
      </w:r>
      <w:r w:rsidR="00210B0A" w:rsidRPr="00473C61">
        <w:rPr>
          <w:rFonts w:ascii="Times New Roman" w:hAnsi="Times New Roman"/>
          <w:sz w:val="24"/>
          <w:szCs w:val="24"/>
        </w:rPr>
        <w:t>provid</w:t>
      </w:r>
      <w:r w:rsidR="00411749" w:rsidRPr="00473C61">
        <w:rPr>
          <w:rFonts w:ascii="Times New Roman" w:hAnsi="Times New Roman"/>
          <w:sz w:val="24"/>
          <w:szCs w:val="24"/>
        </w:rPr>
        <w:t xml:space="preserve">e </w:t>
      </w:r>
      <w:r w:rsidR="00210B0A" w:rsidRPr="00473C61">
        <w:rPr>
          <w:rFonts w:ascii="Times New Roman" w:hAnsi="Times New Roman"/>
          <w:sz w:val="24"/>
          <w:szCs w:val="24"/>
        </w:rPr>
        <w:t xml:space="preserve">a </w:t>
      </w:r>
      <w:r w:rsidR="00F14449" w:rsidRPr="00473C61">
        <w:rPr>
          <w:rFonts w:ascii="Times New Roman" w:hAnsi="Times New Roman"/>
          <w:sz w:val="24"/>
          <w:szCs w:val="24"/>
        </w:rPr>
        <w:t xml:space="preserve">better understanding of </w:t>
      </w:r>
      <w:r w:rsidR="00823020" w:rsidRPr="00473C61">
        <w:rPr>
          <w:rFonts w:ascii="Times New Roman" w:hAnsi="Times New Roman"/>
          <w:sz w:val="24"/>
          <w:szCs w:val="24"/>
        </w:rPr>
        <w:t xml:space="preserve">the </w:t>
      </w:r>
      <w:r w:rsidR="00411749" w:rsidRPr="00473C61">
        <w:rPr>
          <w:rFonts w:ascii="Times New Roman" w:hAnsi="Times New Roman"/>
          <w:sz w:val="24"/>
          <w:szCs w:val="24"/>
        </w:rPr>
        <w:t xml:space="preserve">key </w:t>
      </w:r>
      <w:r w:rsidR="00823020" w:rsidRPr="00473C61">
        <w:rPr>
          <w:rFonts w:ascii="Times New Roman" w:hAnsi="Times New Roman"/>
          <w:sz w:val="24"/>
          <w:szCs w:val="24"/>
        </w:rPr>
        <w:t xml:space="preserve">determinants of </w:t>
      </w:r>
      <w:r w:rsidR="00E76697" w:rsidRPr="00473C61">
        <w:rPr>
          <w:rFonts w:ascii="Times New Roman" w:hAnsi="Times New Roman"/>
          <w:sz w:val="24"/>
          <w:szCs w:val="24"/>
        </w:rPr>
        <w:t xml:space="preserve">household access to credit </w:t>
      </w:r>
      <w:r w:rsidR="00210B0A" w:rsidRPr="00473C61">
        <w:rPr>
          <w:rFonts w:ascii="Times New Roman" w:hAnsi="Times New Roman"/>
          <w:sz w:val="24"/>
          <w:szCs w:val="24"/>
        </w:rPr>
        <w:t>in the UK</w:t>
      </w:r>
      <w:r w:rsidR="00E76697" w:rsidRPr="00473C61">
        <w:rPr>
          <w:rFonts w:ascii="Times New Roman" w:hAnsi="Times New Roman"/>
          <w:sz w:val="24"/>
          <w:szCs w:val="24"/>
        </w:rPr>
        <w:t xml:space="preserve"> </w:t>
      </w:r>
      <w:r w:rsidR="00823020" w:rsidRPr="00473C61">
        <w:rPr>
          <w:rFonts w:ascii="Times New Roman" w:hAnsi="Times New Roman"/>
          <w:sz w:val="24"/>
          <w:szCs w:val="24"/>
        </w:rPr>
        <w:t xml:space="preserve">which we hope can help </w:t>
      </w:r>
      <w:r w:rsidR="00E76697" w:rsidRPr="00473C61">
        <w:rPr>
          <w:rFonts w:ascii="Times New Roman" w:hAnsi="Times New Roman"/>
          <w:sz w:val="24"/>
          <w:szCs w:val="24"/>
        </w:rPr>
        <w:t xml:space="preserve">inform </w:t>
      </w:r>
      <w:r w:rsidR="008471C9" w:rsidRPr="00473C61">
        <w:rPr>
          <w:rFonts w:ascii="Times New Roman" w:hAnsi="Times New Roman"/>
          <w:sz w:val="24"/>
          <w:szCs w:val="24"/>
        </w:rPr>
        <w:t xml:space="preserve">public </w:t>
      </w:r>
      <w:r w:rsidR="00E76697" w:rsidRPr="00473C61">
        <w:rPr>
          <w:rFonts w:ascii="Times New Roman" w:hAnsi="Times New Roman"/>
          <w:sz w:val="24"/>
          <w:szCs w:val="24"/>
        </w:rPr>
        <w:t>policy</w:t>
      </w:r>
      <w:r w:rsidR="00F14449" w:rsidRPr="00473C61">
        <w:rPr>
          <w:rFonts w:ascii="Times New Roman" w:hAnsi="Times New Roman"/>
          <w:sz w:val="24"/>
          <w:szCs w:val="24"/>
        </w:rPr>
        <w:t>.</w:t>
      </w:r>
      <w:r w:rsidR="00210B0A" w:rsidRPr="00473C61">
        <w:rPr>
          <w:rFonts w:ascii="Times New Roman" w:hAnsi="Times New Roman"/>
          <w:sz w:val="24"/>
          <w:szCs w:val="24"/>
        </w:rPr>
        <w:t xml:space="preserve"> </w:t>
      </w:r>
    </w:p>
    <w:p w:rsidR="00AD0AC3" w:rsidRPr="00473C61" w:rsidRDefault="00AD0AC3" w:rsidP="000503E5">
      <w:pPr>
        <w:spacing w:after="0" w:line="480" w:lineRule="auto"/>
        <w:jc w:val="both"/>
        <w:rPr>
          <w:rFonts w:ascii="Times New Roman" w:hAnsi="Times New Roman"/>
          <w:sz w:val="24"/>
          <w:szCs w:val="24"/>
        </w:rPr>
      </w:pPr>
    </w:p>
    <w:p w:rsidR="00280797" w:rsidRPr="00473C61" w:rsidRDefault="00BC1733" w:rsidP="00F57E9C">
      <w:pPr>
        <w:autoSpaceDE w:val="0"/>
        <w:autoSpaceDN w:val="0"/>
        <w:adjustRightInd w:val="0"/>
        <w:spacing w:after="0" w:line="480" w:lineRule="auto"/>
        <w:jc w:val="both"/>
        <w:rPr>
          <w:rFonts w:ascii="Times New Roman" w:hAnsi="Times New Roman"/>
          <w:sz w:val="24"/>
          <w:szCs w:val="24"/>
        </w:rPr>
      </w:pPr>
      <w:r w:rsidRPr="00473C61">
        <w:rPr>
          <w:rFonts w:ascii="Times New Roman" w:hAnsi="Times New Roman"/>
          <w:sz w:val="24"/>
          <w:szCs w:val="24"/>
        </w:rPr>
        <w:t xml:space="preserve">The </w:t>
      </w:r>
      <w:r w:rsidR="008B2388" w:rsidRPr="00473C61">
        <w:rPr>
          <w:rFonts w:ascii="Times New Roman" w:hAnsi="Times New Roman"/>
          <w:sz w:val="24"/>
          <w:szCs w:val="24"/>
        </w:rPr>
        <w:t>contribut</w:t>
      </w:r>
      <w:r w:rsidRPr="00473C61">
        <w:rPr>
          <w:rFonts w:ascii="Times New Roman" w:hAnsi="Times New Roman"/>
          <w:sz w:val="24"/>
          <w:szCs w:val="24"/>
        </w:rPr>
        <w:t>ion of our study is threefold</w:t>
      </w:r>
      <w:r w:rsidR="00477092" w:rsidRPr="00473C61">
        <w:rPr>
          <w:rFonts w:ascii="Times New Roman" w:hAnsi="Times New Roman"/>
          <w:sz w:val="24"/>
          <w:szCs w:val="24"/>
        </w:rPr>
        <w:t xml:space="preserve">.  </w:t>
      </w:r>
      <w:r w:rsidR="00C7090A" w:rsidRPr="00473C61">
        <w:rPr>
          <w:rFonts w:ascii="Times New Roman" w:hAnsi="Times New Roman"/>
          <w:sz w:val="24"/>
          <w:szCs w:val="24"/>
        </w:rPr>
        <w:t>First</w:t>
      </w:r>
      <w:r w:rsidR="00B579E7" w:rsidRPr="00473C61">
        <w:rPr>
          <w:rFonts w:ascii="Times New Roman" w:hAnsi="Times New Roman"/>
          <w:sz w:val="24"/>
          <w:szCs w:val="24"/>
        </w:rPr>
        <w:t xml:space="preserve">, </w:t>
      </w:r>
      <w:r w:rsidR="00003E15" w:rsidRPr="00473C61">
        <w:rPr>
          <w:rFonts w:ascii="Times New Roman" w:hAnsi="Times New Roman"/>
          <w:sz w:val="24"/>
          <w:szCs w:val="24"/>
        </w:rPr>
        <w:t>p</w:t>
      </w:r>
      <w:r w:rsidR="00B579E7" w:rsidRPr="00473C61">
        <w:rPr>
          <w:rFonts w:ascii="Times New Roman" w:hAnsi="Times New Roman"/>
          <w:sz w:val="24"/>
          <w:szCs w:val="24"/>
        </w:rPr>
        <w:t xml:space="preserve">revious studies </w:t>
      </w:r>
      <w:r w:rsidR="00003E15" w:rsidRPr="00473C61">
        <w:rPr>
          <w:rFonts w:ascii="Times New Roman" w:hAnsi="Times New Roman"/>
          <w:sz w:val="24"/>
          <w:szCs w:val="24"/>
        </w:rPr>
        <w:t xml:space="preserve">on </w:t>
      </w:r>
      <w:r w:rsidRPr="00473C61">
        <w:rPr>
          <w:rFonts w:ascii="Times New Roman" w:hAnsi="Times New Roman"/>
          <w:sz w:val="24"/>
          <w:szCs w:val="24"/>
        </w:rPr>
        <w:t xml:space="preserve">financial exclusion in </w:t>
      </w:r>
      <w:r w:rsidR="008B2388" w:rsidRPr="00473C61">
        <w:rPr>
          <w:rFonts w:ascii="Times New Roman" w:hAnsi="Times New Roman"/>
          <w:sz w:val="24"/>
          <w:szCs w:val="24"/>
        </w:rPr>
        <w:t xml:space="preserve">the </w:t>
      </w:r>
      <w:r w:rsidR="00003E15" w:rsidRPr="00473C61">
        <w:rPr>
          <w:rFonts w:ascii="Times New Roman" w:hAnsi="Times New Roman"/>
          <w:sz w:val="24"/>
          <w:szCs w:val="24"/>
        </w:rPr>
        <w:t xml:space="preserve">UK </w:t>
      </w:r>
      <w:r w:rsidR="00BA168F" w:rsidRPr="00473C61">
        <w:rPr>
          <w:rFonts w:ascii="Times New Roman" w:hAnsi="Times New Roman"/>
          <w:sz w:val="24"/>
          <w:szCs w:val="24"/>
        </w:rPr>
        <w:t>(</w:t>
      </w:r>
      <w:r w:rsidR="00376B67" w:rsidRPr="00473C61">
        <w:rPr>
          <w:rFonts w:ascii="Times New Roman" w:hAnsi="Times New Roman"/>
          <w:sz w:val="24"/>
          <w:szCs w:val="24"/>
        </w:rPr>
        <w:t xml:space="preserve">such as </w:t>
      </w:r>
      <w:r w:rsidR="00BA168F" w:rsidRPr="00473C61">
        <w:rPr>
          <w:rFonts w:ascii="Times New Roman" w:hAnsi="Times New Roman"/>
          <w:sz w:val="24"/>
          <w:szCs w:val="24"/>
        </w:rPr>
        <w:t>Devlin, 2005; Finney and Kempson, 2009) provide</w:t>
      </w:r>
      <w:r w:rsidR="00477092" w:rsidRPr="00473C61">
        <w:rPr>
          <w:rFonts w:ascii="Times New Roman" w:hAnsi="Times New Roman"/>
          <w:sz w:val="24"/>
          <w:szCs w:val="24"/>
        </w:rPr>
        <w:t xml:space="preserve"> little information on access to consumer credit. </w:t>
      </w:r>
      <w:r w:rsidR="007428A8" w:rsidRPr="00473C61">
        <w:rPr>
          <w:rFonts w:ascii="Times New Roman" w:hAnsi="Times New Roman"/>
          <w:sz w:val="24"/>
          <w:szCs w:val="24"/>
        </w:rPr>
        <w:t>As such, t</w:t>
      </w:r>
      <w:r w:rsidR="00823020" w:rsidRPr="00473C61">
        <w:rPr>
          <w:rFonts w:ascii="Times New Roman" w:hAnsi="Times New Roman"/>
          <w:sz w:val="24"/>
          <w:szCs w:val="24"/>
        </w:rPr>
        <w:t>h</w:t>
      </w:r>
      <w:r w:rsidRPr="00473C61">
        <w:rPr>
          <w:rFonts w:ascii="Times New Roman" w:hAnsi="Times New Roman"/>
          <w:sz w:val="24"/>
          <w:szCs w:val="24"/>
        </w:rPr>
        <w:t xml:space="preserve">e issue of credit market access </w:t>
      </w:r>
      <w:r w:rsidR="00823020" w:rsidRPr="00473C61">
        <w:rPr>
          <w:rFonts w:ascii="Times New Roman" w:hAnsi="Times New Roman"/>
          <w:sz w:val="24"/>
          <w:szCs w:val="24"/>
        </w:rPr>
        <w:t xml:space="preserve">is </w:t>
      </w:r>
      <w:r w:rsidR="008B2388" w:rsidRPr="00473C61">
        <w:rPr>
          <w:rFonts w:ascii="Times New Roman" w:hAnsi="Times New Roman"/>
          <w:sz w:val="24"/>
          <w:szCs w:val="24"/>
        </w:rPr>
        <w:t>worth</w:t>
      </w:r>
      <w:r w:rsidRPr="00473C61">
        <w:rPr>
          <w:rFonts w:ascii="Times New Roman" w:hAnsi="Times New Roman"/>
          <w:sz w:val="24"/>
          <w:szCs w:val="24"/>
        </w:rPr>
        <w:t xml:space="preserve">y of </w:t>
      </w:r>
      <w:r w:rsidR="008B2388" w:rsidRPr="00473C61">
        <w:rPr>
          <w:rFonts w:ascii="Times New Roman" w:hAnsi="Times New Roman"/>
          <w:sz w:val="24"/>
          <w:szCs w:val="24"/>
        </w:rPr>
        <w:lastRenderedPageBreak/>
        <w:t>investigat</w:t>
      </w:r>
      <w:r w:rsidRPr="00473C61">
        <w:rPr>
          <w:rFonts w:ascii="Times New Roman" w:hAnsi="Times New Roman"/>
          <w:sz w:val="24"/>
          <w:szCs w:val="24"/>
        </w:rPr>
        <w:t>ion</w:t>
      </w:r>
      <w:r w:rsidR="008B2388" w:rsidRPr="00473C61">
        <w:rPr>
          <w:rFonts w:ascii="Times New Roman" w:hAnsi="Times New Roman"/>
          <w:sz w:val="24"/>
          <w:szCs w:val="24"/>
        </w:rPr>
        <w:t xml:space="preserve"> </w:t>
      </w:r>
      <w:r w:rsidR="00823020" w:rsidRPr="00473C61">
        <w:rPr>
          <w:rFonts w:ascii="Times New Roman" w:hAnsi="Times New Roman"/>
          <w:sz w:val="24"/>
          <w:szCs w:val="24"/>
        </w:rPr>
        <w:t xml:space="preserve">because </w:t>
      </w:r>
      <w:r w:rsidR="00823020" w:rsidRPr="00473C61">
        <w:rPr>
          <w:rFonts w:ascii="Times New Roman" w:eastAsiaTheme="minorEastAsia" w:hAnsi="Times New Roman"/>
          <w:sz w:val="24"/>
          <w:szCs w:val="24"/>
          <w:lang w:eastAsia="en-GB"/>
        </w:rPr>
        <w:t xml:space="preserve">if there are households </w:t>
      </w:r>
      <w:r w:rsidR="007428A8" w:rsidRPr="00473C61">
        <w:rPr>
          <w:rFonts w:ascii="Times New Roman" w:eastAsiaTheme="minorEastAsia" w:hAnsi="Times New Roman"/>
          <w:sz w:val="24"/>
          <w:szCs w:val="24"/>
          <w:lang w:eastAsia="en-GB"/>
        </w:rPr>
        <w:t xml:space="preserve">that are </w:t>
      </w:r>
      <w:r w:rsidRPr="00473C61">
        <w:rPr>
          <w:rFonts w:ascii="Times New Roman" w:eastAsiaTheme="minorEastAsia" w:hAnsi="Times New Roman"/>
          <w:sz w:val="24"/>
          <w:szCs w:val="24"/>
          <w:lang w:eastAsia="en-GB"/>
        </w:rPr>
        <w:t>exclu</w:t>
      </w:r>
      <w:r w:rsidR="007428A8" w:rsidRPr="00473C61">
        <w:rPr>
          <w:rFonts w:ascii="Times New Roman" w:eastAsiaTheme="minorEastAsia" w:hAnsi="Times New Roman"/>
          <w:sz w:val="24"/>
          <w:szCs w:val="24"/>
          <w:lang w:eastAsia="en-GB"/>
        </w:rPr>
        <w:t xml:space="preserve">ded from borrowing </w:t>
      </w:r>
      <w:r w:rsidR="00003E15" w:rsidRPr="00473C61">
        <w:rPr>
          <w:rFonts w:ascii="Times New Roman" w:eastAsiaTheme="minorEastAsia" w:hAnsi="Times New Roman"/>
          <w:sz w:val="24"/>
          <w:szCs w:val="24"/>
          <w:lang w:eastAsia="en-GB"/>
        </w:rPr>
        <w:t xml:space="preserve">this </w:t>
      </w:r>
      <w:r w:rsidR="00823020" w:rsidRPr="00473C61">
        <w:rPr>
          <w:rFonts w:ascii="Times New Roman" w:eastAsiaTheme="minorEastAsia" w:hAnsi="Times New Roman"/>
          <w:sz w:val="24"/>
          <w:szCs w:val="24"/>
          <w:lang w:eastAsia="en-GB"/>
        </w:rPr>
        <w:t xml:space="preserve">could </w:t>
      </w:r>
      <w:r w:rsidR="00003E15" w:rsidRPr="00473C61">
        <w:rPr>
          <w:rFonts w:ascii="Times New Roman" w:eastAsiaTheme="minorEastAsia" w:hAnsi="Times New Roman"/>
          <w:sz w:val="24"/>
          <w:szCs w:val="24"/>
          <w:lang w:eastAsia="en-GB"/>
        </w:rPr>
        <w:t xml:space="preserve">exacerbate economic disadvantage. </w:t>
      </w:r>
      <w:r w:rsidR="00C7090A" w:rsidRPr="00473C61">
        <w:rPr>
          <w:rFonts w:ascii="Times New Roman" w:eastAsiaTheme="minorEastAsia" w:hAnsi="Times New Roman"/>
          <w:sz w:val="24"/>
          <w:szCs w:val="24"/>
          <w:lang w:eastAsia="en-GB"/>
        </w:rPr>
        <w:t>Second</w:t>
      </w:r>
      <w:r w:rsidR="00003E15" w:rsidRPr="00473C61">
        <w:rPr>
          <w:rFonts w:ascii="Times New Roman" w:eastAsiaTheme="minorEastAsia" w:hAnsi="Times New Roman"/>
          <w:sz w:val="24"/>
          <w:szCs w:val="24"/>
          <w:lang w:eastAsia="en-GB"/>
        </w:rPr>
        <w:t xml:space="preserve">, </w:t>
      </w:r>
      <w:r w:rsidR="008B2388" w:rsidRPr="00473C61">
        <w:rPr>
          <w:rFonts w:ascii="Times New Roman" w:eastAsiaTheme="minorEastAsia" w:hAnsi="Times New Roman"/>
          <w:sz w:val="24"/>
          <w:szCs w:val="24"/>
          <w:lang w:eastAsia="en-GB"/>
        </w:rPr>
        <w:t xml:space="preserve">although </w:t>
      </w:r>
      <w:r w:rsidR="00823020" w:rsidRPr="00473C61">
        <w:rPr>
          <w:rFonts w:ascii="Times New Roman" w:eastAsiaTheme="minorEastAsia" w:hAnsi="Times New Roman"/>
          <w:sz w:val="24"/>
          <w:szCs w:val="24"/>
          <w:lang w:eastAsia="en-GB"/>
        </w:rPr>
        <w:t>some</w:t>
      </w:r>
      <w:r w:rsidR="007A78D2" w:rsidRPr="00473C61">
        <w:rPr>
          <w:rFonts w:ascii="Times New Roman" w:eastAsiaTheme="minorEastAsia" w:hAnsi="Times New Roman"/>
          <w:sz w:val="24"/>
          <w:szCs w:val="24"/>
          <w:lang w:eastAsia="en-GB"/>
        </w:rPr>
        <w:t xml:space="preserve"> </w:t>
      </w:r>
      <w:r w:rsidR="008B2388" w:rsidRPr="00473C61">
        <w:rPr>
          <w:rFonts w:ascii="Times New Roman" w:eastAsiaTheme="minorEastAsia" w:hAnsi="Times New Roman"/>
          <w:sz w:val="24"/>
          <w:szCs w:val="24"/>
          <w:lang w:eastAsia="en-GB"/>
        </w:rPr>
        <w:t xml:space="preserve">literature </w:t>
      </w:r>
      <w:r w:rsidR="008B2388" w:rsidRPr="00473C61">
        <w:rPr>
          <w:rFonts w:ascii="Times New Roman" w:hAnsi="Times New Roman"/>
          <w:sz w:val="24"/>
          <w:szCs w:val="24"/>
        </w:rPr>
        <w:t>(</w:t>
      </w:r>
      <w:r w:rsidR="00376B67" w:rsidRPr="00473C61">
        <w:rPr>
          <w:rFonts w:ascii="Times New Roman" w:hAnsi="Times New Roman"/>
          <w:sz w:val="24"/>
          <w:szCs w:val="24"/>
        </w:rPr>
        <w:t xml:space="preserve">such as </w:t>
      </w:r>
      <w:r w:rsidR="00BA168F" w:rsidRPr="00473C61">
        <w:rPr>
          <w:rFonts w:ascii="Times New Roman" w:hAnsi="Times New Roman"/>
          <w:sz w:val="24"/>
          <w:szCs w:val="24"/>
        </w:rPr>
        <w:t xml:space="preserve">Kempson and Whyley, 1999; Khan, 2008; FSA, 2009) </w:t>
      </w:r>
      <w:r w:rsidR="00280797" w:rsidRPr="00473C61">
        <w:rPr>
          <w:rFonts w:ascii="Times New Roman" w:hAnsi="Times New Roman"/>
          <w:sz w:val="24"/>
          <w:szCs w:val="24"/>
        </w:rPr>
        <w:t xml:space="preserve">suggests </w:t>
      </w:r>
      <w:r w:rsidR="007428A8" w:rsidRPr="00473C61">
        <w:rPr>
          <w:rFonts w:ascii="Times New Roman" w:hAnsi="Times New Roman"/>
          <w:sz w:val="24"/>
          <w:szCs w:val="24"/>
        </w:rPr>
        <w:t xml:space="preserve">that various </w:t>
      </w:r>
      <w:r w:rsidRPr="00473C61">
        <w:rPr>
          <w:rFonts w:ascii="Times New Roman" w:hAnsi="Times New Roman"/>
          <w:sz w:val="24"/>
          <w:szCs w:val="24"/>
        </w:rPr>
        <w:t xml:space="preserve">households may not have access to credit </w:t>
      </w:r>
      <w:r w:rsidR="00280797" w:rsidRPr="00473C61">
        <w:rPr>
          <w:rFonts w:ascii="Times New Roman" w:hAnsi="Times New Roman"/>
          <w:sz w:val="24"/>
          <w:szCs w:val="24"/>
        </w:rPr>
        <w:t>th</w:t>
      </w:r>
      <w:r w:rsidR="007428A8" w:rsidRPr="00473C61">
        <w:rPr>
          <w:rFonts w:ascii="Times New Roman" w:hAnsi="Times New Roman"/>
          <w:sz w:val="24"/>
          <w:szCs w:val="24"/>
        </w:rPr>
        <w:t>is</w:t>
      </w:r>
      <w:r w:rsidR="00280797" w:rsidRPr="00473C61">
        <w:rPr>
          <w:rFonts w:ascii="Times New Roman" w:hAnsi="Times New Roman"/>
          <w:sz w:val="24"/>
          <w:szCs w:val="24"/>
        </w:rPr>
        <w:t xml:space="preserve"> inference is based </w:t>
      </w:r>
      <w:r w:rsidR="008B2388" w:rsidRPr="00473C61">
        <w:rPr>
          <w:rFonts w:ascii="Times New Roman" w:hAnsi="Times New Roman"/>
          <w:sz w:val="24"/>
          <w:szCs w:val="24"/>
        </w:rPr>
        <w:t xml:space="preserve">on </w:t>
      </w:r>
      <w:r w:rsidR="00280797" w:rsidRPr="00473C61">
        <w:rPr>
          <w:rFonts w:ascii="Times New Roman" w:hAnsi="Times New Roman"/>
          <w:sz w:val="24"/>
          <w:szCs w:val="24"/>
        </w:rPr>
        <w:t xml:space="preserve">simple </w:t>
      </w:r>
      <w:r w:rsidR="00BA168F" w:rsidRPr="00473C61">
        <w:rPr>
          <w:rFonts w:ascii="Times New Roman" w:hAnsi="Times New Roman"/>
          <w:sz w:val="24"/>
          <w:szCs w:val="24"/>
        </w:rPr>
        <w:t xml:space="preserve">descriptive </w:t>
      </w:r>
      <w:r w:rsidR="00003E15" w:rsidRPr="00473C61">
        <w:rPr>
          <w:rFonts w:ascii="Times New Roman" w:hAnsi="Times New Roman"/>
          <w:sz w:val="24"/>
          <w:szCs w:val="24"/>
        </w:rPr>
        <w:t>analysis.</w:t>
      </w:r>
      <w:r w:rsidR="008B2388" w:rsidRPr="00473C61">
        <w:rPr>
          <w:rFonts w:ascii="Times New Roman" w:hAnsi="Times New Roman"/>
          <w:sz w:val="24"/>
          <w:szCs w:val="24"/>
        </w:rPr>
        <w:t xml:space="preserve">  </w:t>
      </w:r>
      <w:r w:rsidR="00280797" w:rsidRPr="00473C61">
        <w:rPr>
          <w:rFonts w:ascii="Times New Roman" w:hAnsi="Times New Roman"/>
          <w:sz w:val="24"/>
          <w:szCs w:val="24"/>
        </w:rPr>
        <w:t xml:space="preserve">Our </w:t>
      </w:r>
      <w:r w:rsidRPr="00473C61">
        <w:rPr>
          <w:rFonts w:ascii="Times New Roman" w:hAnsi="Times New Roman"/>
          <w:sz w:val="24"/>
          <w:szCs w:val="24"/>
        </w:rPr>
        <w:t xml:space="preserve">approach </w:t>
      </w:r>
      <w:r w:rsidR="008B2388" w:rsidRPr="00473C61">
        <w:rPr>
          <w:rFonts w:ascii="Times New Roman" w:hAnsi="Times New Roman"/>
          <w:sz w:val="24"/>
          <w:szCs w:val="24"/>
        </w:rPr>
        <w:t>provide</w:t>
      </w:r>
      <w:r w:rsidR="00280797" w:rsidRPr="00473C61">
        <w:rPr>
          <w:rFonts w:ascii="Times New Roman" w:hAnsi="Times New Roman"/>
          <w:sz w:val="24"/>
          <w:szCs w:val="24"/>
        </w:rPr>
        <w:t>s</w:t>
      </w:r>
      <w:r w:rsidR="008B2388" w:rsidRPr="00473C61">
        <w:rPr>
          <w:rFonts w:ascii="Times New Roman" w:hAnsi="Times New Roman"/>
          <w:sz w:val="24"/>
          <w:szCs w:val="24"/>
        </w:rPr>
        <w:t xml:space="preserve"> a more rigorous methodology </w:t>
      </w:r>
      <w:r w:rsidR="009420C3" w:rsidRPr="00473C61">
        <w:rPr>
          <w:rFonts w:ascii="Times New Roman" w:hAnsi="Times New Roman"/>
          <w:sz w:val="24"/>
          <w:szCs w:val="24"/>
        </w:rPr>
        <w:t>u</w:t>
      </w:r>
      <w:r w:rsidR="007428A8" w:rsidRPr="00473C61">
        <w:rPr>
          <w:rFonts w:ascii="Times New Roman" w:hAnsi="Times New Roman"/>
          <w:sz w:val="24"/>
          <w:szCs w:val="24"/>
        </w:rPr>
        <w:t>sing</w:t>
      </w:r>
      <w:r w:rsidR="009420C3" w:rsidRPr="00473C61">
        <w:rPr>
          <w:rFonts w:ascii="Times New Roman" w:hAnsi="Times New Roman"/>
          <w:sz w:val="24"/>
          <w:szCs w:val="24"/>
        </w:rPr>
        <w:t xml:space="preserve"> both treatment effects </w:t>
      </w:r>
      <w:r w:rsidR="00A90FFE" w:rsidRPr="00473C61">
        <w:rPr>
          <w:rFonts w:ascii="Times New Roman" w:hAnsi="Times New Roman"/>
          <w:sz w:val="24"/>
          <w:szCs w:val="24"/>
        </w:rPr>
        <w:t xml:space="preserve">model </w:t>
      </w:r>
      <w:r w:rsidR="009420C3" w:rsidRPr="00473C61">
        <w:rPr>
          <w:rFonts w:ascii="Times New Roman" w:hAnsi="Times New Roman"/>
          <w:sz w:val="24"/>
          <w:szCs w:val="24"/>
        </w:rPr>
        <w:t>and propensity score matching</w:t>
      </w:r>
      <w:r w:rsidR="007428A8" w:rsidRPr="00473C61">
        <w:rPr>
          <w:rFonts w:ascii="Times New Roman" w:hAnsi="Times New Roman"/>
          <w:sz w:val="24"/>
          <w:szCs w:val="24"/>
        </w:rPr>
        <w:t xml:space="preserve"> approaches which helps us </w:t>
      </w:r>
      <w:r w:rsidRPr="00473C61">
        <w:rPr>
          <w:rFonts w:ascii="Times New Roman" w:hAnsi="Times New Roman"/>
          <w:sz w:val="24"/>
          <w:szCs w:val="24"/>
        </w:rPr>
        <w:t xml:space="preserve">to </w:t>
      </w:r>
      <w:r w:rsidR="007428A8" w:rsidRPr="00473C61">
        <w:rPr>
          <w:rFonts w:ascii="Times New Roman" w:hAnsi="Times New Roman"/>
          <w:sz w:val="24"/>
          <w:szCs w:val="24"/>
        </w:rPr>
        <w:t>deal with</w:t>
      </w:r>
      <w:r w:rsidRPr="00473C61">
        <w:rPr>
          <w:rFonts w:ascii="Times New Roman" w:hAnsi="Times New Roman"/>
          <w:sz w:val="24"/>
          <w:szCs w:val="24"/>
        </w:rPr>
        <w:t xml:space="preserve"> </w:t>
      </w:r>
      <w:r w:rsidR="00E76697" w:rsidRPr="00473C61">
        <w:rPr>
          <w:rFonts w:ascii="Times New Roman" w:hAnsi="Times New Roman"/>
          <w:sz w:val="24"/>
          <w:szCs w:val="24"/>
        </w:rPr>
        <w:t xml:space="preserve">endogeneity issues that </w:t>
      </w:r>
      <w:r w:rsidR="007428A8" w:rsidRPr="00473C61">
        <w:rPr>
          <w:rFonts w:ascii="Times New Roman" w:hAnsi="Times New Roman"/>
          <w:sz w:val="24"/>
          <w:szCs w:val="24"/>
        </w:rPr>
        <w:t xml:space="preserve">are </w:t>
      </w:r>
      <w:r w:rsidRPr="00473C61">
        <w:rPr>
          <w:rFonts w:ascii="Times New Roman" w:hAnsi="Times New Roman"/>
          <w:sz w:val="24"/>
          <w:szCs w:val="24"/>
        </w:rPr>
        <w:t xml:space="preserve">typically </w:t>
      </w:r>
      <w:r w:rsidR="00E76697" w:rsidRPr="00473C61">
        <w:rPr>
          <w:rFonts w:ascii="Times New Roman" w:hAnsi="Times New Roman"/>
          <w:sz w:val="24"/>
          <w:szCs w:val="24"/>
        </w:rPr>
        <w:t xml:space="preserve">ignored in </w:t>
      </w:r>
      <w:r w:rsidR="007428A8" w:rsidRPr="00473C61">
        <w:rPr>
          <w:rFonts w:ascii="Times New Roman" w:hAnsi="Times New Roman"/>
          <w:sz w:val="24"/>
          <w:szCs w:val="24"/>
        </w:rPr>
        <w:t xml:space="preserve">other </w:t>
      </w:r>
      <w:r w:rsidRPr="00473C61">
        <w:rPr>
          <w:rFonts w:ascii="Times New Roman" w:hAnsi="Times New Roman"/>
          <w:sz w:val="24"/>
          <w:szCs w:val="24"/>
        </w:rPr>
        <w:t>studies</w:t>
      </w:r>
      <w:r w:rsidR="00F14449" w:rsidRPr="00473C61">
        <w:rPr>
          <w:rFonts w:ascii="Times New Roman" w:hAnsi="Times New Roman"/>
          <w:sz w:val="24"/>
          <w:szCs w:val="24"/>
        </w:rPr>
        <w:t>.</w:t>
      </w:r>
      <w:r w:rsidR="00C7090A" w:rsidRPr="00473C61">
        <w:rPr>
          <w:rFonts w:ascii="Times New Roman" w:hAnsi="Times New Roman"/>
          <w:sz w:val="24"/>
          <w:szCs w:val="24"/>
        </w:rPr>
        <w:t xml:space="preserve"> </w:t>
      </w:r>
      <w:r w:rsidR="00AD0AC3" w:rsidRPr="00473C61">
        <w:rPr>
          <w:rFonts w:ascii="Times New Roman" w:hAnsi="Times New Roman"/>
          <w:sz w:val="24"/>
          <w:szCs w:val="24"/>
        </w:rPr>
        <w:t xml:space="preserve">Our </w:t>
      </w:r>
      <w:r w:rsidR="007428A8" w:rsidRPr="00473C61">
        <w:rPr>
          <w:rFonts w:ascii="Times New Roman" w:hAnsi="Times New Roman"/>
          <w:sz w:val="24"/>
          <w:szCs w:val="24"/>
        </w:rPr>
        <w:t xml:space="preserve">findings, therefore, are more authoritative. </w:t>
      </w:r>
      <w:r w:rsidR="00C7090A" w:rsidRPr="00473C61">
        <w:rPr>
          <w:rFonts w:ascii="Times New Roman" w:hAnsi="Times New Roman"/>
          <w:sz w:val="24"/>
          <w:szCs w:val="24"/>
        </w:rPr>
        <w:t xml:space="preserve">Finally, </w:t>
      </w:r>
      <w:r w:rsidR="007428A8" w:rsidRPr="00473C61">
        <w:rPr>
          <w:rFonts w:ascii="Times New Roman" w:hAnsi="Times New Roman"/>
          <w:sz w:val="24"/>
          <w:szCs w:val="24"/>
        </w:rPr>
        <w:t xml:space="preserve">the bulk </w:t>
      </w:r>
      <w:r w:rsidRPr="00473C61">
        <w:rPr>
          <w:rFonts w:ascii="Times New Roman" w:hAnsi="Times New Roman"/>
          <w:sz w:val="24"/>
          <w:szCs w:val="24"/>
        </w:rPr>
        <w:t xml:space="preserve">of the literature on access to loan markets </w:t>
      </w:r>
      <w:r w:rsidR="00C7090A" w:rsidRPr="00473C61">
        <w:rPr>
          <w:rFonts w:ascii="Times New Roman" w:hAnsi="Times New Roman"/>
          <w:sz w:val="24"/>
          <w:szCs w:val="24"/>
        </w:rPr>
        <w:t>relate</w:t>
      </w:r>
      <w:r w:rsidRPr="00473C61">
        <w:rPr>
          <w:rFonts w:ascii="Times New Roman" w:hAnsi="Times New Roman"/>
          <w:sz w:val="24"/>
          <w:szCs w:val="24"/>
        </w:rPr>
        <w:t>s</w:t>
      </w:r>
      <w:r w:rsidR="00C7090A" w:rsidRPr="00473C61">
        <w:rPr>
          <w:rFonts w:ascii="Times New Roman" w:hAnsi="Times New Roman"/>
          <w:sz w:val="24"/>
          <w:szCs w:val="24"/>
        </w:rPr>
        <w:t xml:space="preserve"> to</w:t>
      </w:r>
      <w:r w:rsidRPr="00473C61">
        <w:rPr>
          <w:rFonts w:ascii="Times New Roman" w:hAnsi="Times New Roman"/>
          <w:sz w:val="24"/>
          <w:szCs w:val="24"/>
        </w:rPr>
        <w:t xml:space="preserve"> </w:t>
      </w:r>
      <w:r w:rsidR="00C7090A" w:rsidRPr="00473C61">
        <w:rPr>
          <w:rFonts w:ascii="Times New Roman" w:hAnsi="Times New Roman"/>
          <w:sz w:val="24"/>
          <w:szCs w:val="24"/>
        </w:rPr>
        <w:t>U.S.</w:t>
      </w:r>
      <w:r w:rsidR="007428A8" w:rsidRPr="00473C61">
        <w:rPr>
          <w:rFonts w:ascii="Times New Roman" w:hAnsi="Times New Roman"/>
          <w:sz w:val="24"/>
          <w:szCs w:val="24"/>
        </w:rPr>
        <w:t xml:space="preserve"> households </w:t>
      </w:r>
      <w:r w:rsidR="00C7090A" w:rsidRPr="00473C61">
        <w:rPr>
          <w:rFonts w:ascii="Times New Roman" w:hAnsi="Times New Roman"/>
          <w:sz w:val="24"/>
          <w:szCs w:val="24"/>
        </w:rPr>
        <w:t xml:space="preserve">and there is a </w:t>
      </w:r>
      <w:r w:rsidR="007428A8" w:rsidRPr="00473C61">
        <w:rPr>
          <w:rFonts w:ascii="Times New Roman" w:hAnsi="Times New Roman"/>
          <w:sz w:val="24"/>
          <w:szCs w:val="24"/>
        </w:rPr>
        <w:t xml:space="preserve">paucity </w:t>
      </w:r>
      <w:r w:rsidR="00C7090A" w:rsidRPr="00473C61">
        <w:rPr>
          <w:rFonts w:ascii="Times New Roman" w:hAnsi="Times New Roman"/>
          <w:sz w:val="24"/>
          <w:szCs w:val="24"/>
        </w:rPr>
        <w:t>of contemporary evidence on the</w:t>
      </w:r>
      <w:r w:rsidR="007428A8" w:rsidRPr="00473C61">
        <w:rPr>
          <w:rFonts w:ascii="Times New Roman" w:hAnsi="Times New Roman"/>
          <w:sz w:val="24"/>
          <w:szCs w:val="24"/>
        </w:rPr>
        <w:t>ir</w:t>
      </w:r>
      <w:r w:rsidR="00C7090A" w:rsidRPr="00473C61">
        <w:rPr>
          <w:rFonts w:ascii="Times New Roman" w:hAnsi="Times New Roman"/>
          <w:sz w:val="24"/>
          <w:szCs w:val="24"/>
        </w:rPr>
        <w:t xml:space="preserve"> UK</w:t>
      </w:r>
      <w:r w:rsidR="007428A8" w:rsidRPr="00473C61">
        <w:rPr>
          <w:rFonts w:ascii="Times New Roman" w:hAnsi="Times New Roman"/>
          <w:sz w:val="24"/>
          <w:szCs w:val="24"/>
        </w:rPr>
        <w:t xml:space="preserve"> counterparts – our analysis seeks to fill this gap</w:t>
      </w:r>
      <w:r w:rsidR="00C7090A" w:rsidRPr="00473C61">
        <w:rPr>
          <w:rFonts w:ascii="Times New Roman" w:hAnsi="Times New Roman"/>
          <w:sz w:val="24"/>
          <w:szCs w:val="24"/>
        </w:rPr>
        <w:t>.</w:t>
      </w:r>
      <w:r w:rsidR="00280797" w:rsidRPr="00473C61">
        <w:rPr>
          <w:rFonts w:ascii="Times New Roman" w:hAnsi="Times New Roman"/>
          <w:sz w:val="24"/>
          <w:szCs w:val="24"/>
        </w:rPr>
        <w:t xml:space="preserve"> </w:t>
      </w:r>
    </w:p>
    <w:p w:rsidR="00280797" w:rsidRPr="00473C61" w:rsidRDefault="00280797" w:rsidP="00F57E9C">
      <w:pPr>
        <w:autoSpaceDE w:val="0"/>
        <w:autoSpaceDN w:val="0"/>
        <w:adjustRightInd w:val="0"/>
        <w:spacing w:after="0" w:line="480" w:lineRule="auto"/>
        <w:jc w:val="both"/>
        <w:rPr>
          <w:rFonts w:ascii="Times New Roman" w:hAnsi="Times New Roman"/>
          <w:sz w:val="24"/>
          <w:szCs w:val="24"/>
        </w:rPr>
      </w:pPr>
    </w:p>
    <w:p w:rsidR="000503E5" w:rsidRPr="00473C61" w:rsidRDefault="000503E5" w:rsidP="000503E5">
      <w:pPr>
        <w:spacing w:after="0" w:line="480" w:lineRule="auto"/>
        <w:jc w:val="both"/>
        <w:rPr>
          <w:rFonts w:ascii="Times New Roman" w:hAnsi="Times New Roman"/>
          <w:sz w:val="24"/>
          <w:szCs w:val="24"/>
        </w:rPr>
      </w:pPr>
      <w:r w:rsidRPr="00473C61">
        <w:rPr>
          <w:rFonts w:ascii="Times New Roman" w:hAnsi="Times New Roman"/>
          <w:sz w:val="24"/>
          <w:szCs w:val="24"/>
        </w:rPr>
        <w:t xml:space="preserve">The remainder of the paper is organized as follows: The next section </w:t>
      </w:r>
      <w:r w:rsidR="009E1AB2" w:rsidRPr="00473C61">
        <w:rPr>
          <w:rFonts w:ascii="Times New Roman" w:hAnsi="Times New Roman"/>
          <w:sz w:val="24"/>
          <w:szCs w:val="24"/>
        </w:rPr>
        <w:t>summarises</w:t>
      </w:r>
      <w:r w:rsidRPr="00473C61">
        <w:rPr>
          <w:rFonts w:ascii="Times New Roman" w:hAnsi="Times New Roman"/>
          <w:sz w:val="24"/>
          <w:szCs w:val="24"/>
        </w:rPr>
        <w:t xml:space="preserve"> the literature.  Section 3 describes the data sources, explains the empirical </w:t>
      </w:r>
      <w:r w:rsidR="009E1AB2" w:rsidRPr="00473C61">
        <w:rPr>
          <w:rFonts w:ascii="Times New Roman" w:hAnsi="Times New Roman"/>
          <w:sz w:val="24"/>
          <w:szCs w:val="24"/>
        </w:rPr>
        <w:t>methodologies</w:t>
      </w:r>
      <w:r w:rsidRPr="00473C61">
        <w:rPr>
          <w:rFonts w:ascii="Times New Roman" w:hAnsi="Times New Roman"/>
          <w:sz w:val="24"/>
          <w:szCs w:val="24"/>
        </w:rPr>
        <w:t xml:space="preserve"> used in the analysis</w:t>
      </w:r>
      <w:r w:rsidR="009E1AB2" w:rsidRPr="00473C61">
        <w:rPr>
          <w:rFonts w:ascii="Times New Roman" w:hAnsi="Times New Roman"/>
          <w:sz w:val="24"/>
          <w:szCs w:val="24"/>
        </w:rPr>
        <w:t xml:space="preserve"> and provides descriptive statistics</w:t>
      </w:r>
      <w:r w:rsidRPr="00473C61">
        <w:rPr>
          <w:rFonts w:ascii="Times New Roman" w:hAnsi="Times New Roman"/>
          <w:sz w:val="24"/>
          <w:szCs w:val="24"/>
        </w:rPr>
        <w:t>. The results of estimations are presented and discussed in Section 4. Section 5 concludes.</w:t>
      </w:r>
    </w:p>
    <w:p w:rsidR="00B80798" w:rsidRPr="00473C61" w:rsidRDefault="00B80798" w:rsidP="000503E5">
      <w:pPr>
        <w:spacing w:after="0" w:line="480" w:lineRule="auto"/>
        <w:jc w:val="both"/>
        <w:rPr>
          <w:rFonts w:ascii="Times New Roman" w:hAnsi="Times New Roman"/>
          <w:sz w:val="24"/>
          <w:szCs w:val="24"/>
        </w:rPr>
      </w:pPr>
    </w:p>
    <w:p w:rsidR="0041323E" w:rsidRPr="00473C61" w:rsidRDefault="00C60354" w:rsidP="0041323E">
      <w:pPr>
        <w:numPr>
          <w:ilvl w:val="0"/>
          <w:numId w:val="4"/>
        </w:numPr>
        <w:spacing w:after="0" w:line="480" w:lineRule="auto"/>
        <w:jc w:val="both"/>
        <w:rPr>
          <w:rFonts w:ascii="Times New Roman" w:hAnsi="Times New Roman"/>
          <w:b/>
          <w:sz w:val="24"/>
          <w:szCs w:val="24"/>
        </w:rPr>
      </w:pPr>
      <w:r w:rsidRPr="00473C61">
        <w:rPr>
          <w:rFonts w:ascii="Times New Roman" w:hAnsi="Times New Roman"/>
          <w:b/>
          <w:sz w:val="24"/>
          <w:szCs w:val="24"/>
        </w:rPr>
        <w:t>LITERATURE REVIEW</w:t>
      </w:r>
    </w:p>
    <w:p w:rsidR="00A96F76" w:rsidRPr="00473C61" w:rsidRDefault="00A96F76" w:rsidP="00C910C9">
      <w:pPr>
        <w:spacing w:after="0" w:line="480" w:lineRule="auto"/>
        <w:jc w:val="both"/>
        <w:rPr>
          <w:rFonts w:ascii="Times New Roman" w:hAnsi="Times New Roman"/>
          <w:b/>
          <w:sz w:val="24"/>
          <w:szCs w:val="24"/>
        </w:rPr>
      </w:pPr>
    </w:p>
    <w:p w:rsidR="003733BE" w:rsidRPr="00473C61" w:rsidRDefault="007A78D2" w:rsidP="003733BE">
      <w:pPr>
        <w:spacing w:line="480" w:lineRule="auto"/>
        <w:jc w:val="both"/>
        <w:rPr>
          <w:rFonts w:ascii="Times New Roman" w:hAnsi="Times New Roman"/>
          <w:sz w:val="24"/>
          <w:szCs w:val="24"/>
          <w:lang w:val="en-GB" w:eastAsia="en-GB"/>
        </w:rPr>
      </w:pPr>
      <w:r w:rsidRPr="00473C61">
        <w:rPr>
          <w:rFonts w:ascii="Times New Roman" w:hAnsi="Times New Roman"/>
          <w:sz w:val="24"/>
          <w:szCs w:val="24"/>
        </w:rPr>
        <w:t xml:space="preserve">As already noted, the </w:t>
      </w:r>
      <w:r w:rsidR="00C910C9" w:rsidRPr="00473C61">
        <w:rPr>
          <w:rFonts w:ascii="Times New Roman" w:hAnsi="Times New Roman"/>
          <w:sz w:val="24"/>
          <w:szCs w:val="24"/>
        </w:rPr>
        <w:t>l</w:t>
      </w:r>
      <w:r w:rsidR="00376B67" w:rsidRPr="00473C61">
        <w:rPr>
          <w:rFonts w:ascii="Times New Roman" w:hAnsi="Times New Roman"/>
          <w:sz w:val="24"/>
          <w:szCs w:val="24"/>
        </w:rPr>
        <w:t xml:space="preserve">iterature </w:t>
      </w:r>
      <w:r w:rsidR="00E517F1" w:rsidRPr="00473C61">
        <w:rPr>
          <w:rFonts w:ascii="Times New Roman" w:hAnsi="Times New Roman"/>
          <w:sz w:val="24"/>
          <w:szCs w:val="24"/>
        </w:rPr>
        <w:t xml:space="preserve">covering </w:t>
      </w:r>
      <w:r w:rsidRPr="00473C61">
        <w:rPr>
          <w:rFonts w:ascii="Times New Roman" w:hAnsi="Times New Roman"/>
          <w:sz w:val="24"/>
          <w:szCs w:val="24"/>
        </w:rPr>
        <w:t xml:space="preserve">access </w:t>
      </w:r>
      <w:r w:rsidR="00BF3E43" w:rsidRPr="00473C61">
        <w:rPr>
          <w:rFonts w:ascii="Times New Roman" w:hAnsi="Times New Roman"/>
          <w:sz w:val="24"/>
          <w:szCs w:val="24"/>
        </w:rPr>
        <w:t xml:space="preserve">to </w:t>
      </w:r>
      <w:r w:rsidRPr="00473C61">
        <w:rPr>
          <w:rFonts w:ascii="Times New Roman" w:hAnsi="Times New Roman"/>
          <w:sz w:val="24"/>
          <w:szCs w:val="24"/>
        </w:rPr>
        <w:t>financ</w:t>
      </w:r>
      <w:r w:rsidR="00E517F1" w:rsidRPr="00473C61">
        <w:rPr>
          <w:rFonts w:ascii="Times New Roman" w:hAnsi="Times New Roman"/>
          <w:sz w:val="24"/>
          <w:szCs w:val="24"/>
        </w:rPr>
        <w:t xml:space="preserve">ial services spans </w:t>
      </w:r>
      <w:r w:rsidR="00C910C9" w:rsidRPr="00473C61">
        <w:rPr>
          <w:rFonts w:ascii="Times New Roman" w:hAnsi="Times New Roman"/>
          <w:sz w:val="24"/>
          <w:szCs w:val="24"/>
        </w:rPr>
        <w:t xml:space="preserve">two </w:t>
      </w:r>
      <w:r w:rsidRPr="00473C61">
        <w:rPr>
          <w:rFonts w:ascii="Times New Roman" w:hAnsi="Times New Roman"/>
          <w:sz w:val="24"/>
          <w:szCs w:val="24"/>
        </w:rPr>
        <w:t xml:space="preserve">main </w:t>
      </w:r>
      <w:r w:rsidR="00BF3E43" w:rsidRPr="00473C61">
        <w:rPr>
          <w:rFonts w:ascii="Times New Roman" w:hAnsi="Times New Roman"/>
          <w:sz w:val="24"/>
          <w:szCs w:val="24"/>
        </w:rPr>
        <w:t xml:space="preserve">subject </w:t>
      </w:r>
      <w:r w:rsidRPr="00473C61">
        <w:rPr>
          <w:rFonts w:ascii="Times New Roman" w:hAnsi="Times New Roman"/>
          <w:sz w:val="24"/>
          <w:szCs w:val="24"/>
        </w:rPr>
        <w:t>areas</w:t>
      </w:r>
      <w:r w:rsidR="00E517F1" w:rsidRPr="00473C61">
        <w:rPr>
          <w:rFonts w:ascii="Times New Roman" w:hAnsi="Times New Roman"/>
          <w:sz w:val="24"/>
          <w:szCs w:val="24"/>
        </w:rPr>
        <w:t xml:space="preserve">, namely, </w:t>
      </w:r>
      <w:r w:rsidR="00C910C9" w:rsidRPr="00473C61">
        <w:rPr>
          <w:rFonts w:ascii="Times New Roman" w:hAnsi="Times New Roman"/>
          <w:i/>
          <w:sz w:val="24"/>
          <w:szCs w:val="24"/>
        </w:rPr>
        <w:t>financial exclusion</w:t>
      </w:r>
      <w:r w:rsidR="00C910C9" w:rsidRPr="00473C61">
        <w:rPr>
          <w:rFonts w:ascii="Times New Roman" w:hAnsi="Times New Roman"/>
          <w:sz w:val="24"/>
          <w:szCs w:val="24"/>
        </w:rPr>
        <w:t xml:space="preserve"> and </w:t>
      </w:r>
      <w:r w:rsidR="00C910C9" w:rsidRPr="00473C61">
        <w:rPr>
          <w:rFonts w:ascii="Times New Roman" w:hAnsi="Times New Roman"/>
          <w:i/>
          <w:sz w:val="24"/>
          <w:szCs w:val="24"/>
        </w:rPr>
        <w:t>discrimination</w:t>
      </w:r>
      <w:r w:rsidR="00C910C9" w:rsidRPr="00473C61">
        <w:rPr>
          <w:rFonts w:ascii="Times New Roman" w:hAnsi="Times New Roman"/>
          <w:sz w:val="24"/>
          <w:szCs w:val="24"/>
        </w:rPr>
        <w:t xml:space="preserve">. </w:t>
      </w:r>
      <w:r w:rsidR="00EF769B" w:rsidRPr="00473C61">
        <w:rPr>
          <w:rFonts w:ascii="Times New Roman" w:hAnsi="Times New Roman"/>
          <w:sz w:val="24"/>
          <w:szCs w:val="24"/>
        </w:rPr>
        <w:t xml:space="preserve">In the case of the former, </w:t>
      </w:r>
      <w:r w:rsidR="00BF3E43" w:rsidRPr="00473C61">
        <w:rPr>
          <w:rFonts w:ascii="Times New Roman" w:hAnsi="Times New Roman"/>
          <w:sz w:val="24"/>
          <w:szCs w:val="24"/>
          <w:lang w:val="en-GB" w:eastAsia="en-GB"/>
        </w:rPr>
        <w:t xml:space="preserve">recent policy interest </w:t>
      </w:r>
      <w:r w:rsidR="00EF769B" w:rsidRPr="00473C61">
        <w:rPr>
          <w:rFonts w:ascii="Times New Roman" w:hAnsi="Times New Roman"/>
          <w:sz w:val="24"/>
          <w:szCs w:val="24"/>
          <w:lang w:val="en-GB" w:eastAsia="en-GB"/>
        </w:rPr>
        <w:t xml:space="preserve">has been fuelled by work undertaken by the </w:t>
      </w:r>
      <w:r w:rsidR="00BF3E43" w:rsidRPr="00473C61">
        <w:rPr>
          <w:rFonts w:ascii="Times New Roman" w:hAnsi="Times New Roman"/>
          <w:sz w:val="24"/>
          <w:szCs w:val="24"/>
          <w:lang w:val="en-GB" w:eastAsia="en-GB"/>
        </w:rPr>
        <w:t>World Bank</w:t>
      </w:r>
      <w:r w:rsidR="00E6387C" w:rsidRPr="00473C61">
        <w:rPr>
          <w:rFonts w:ascii="Times New Roman" w:hAnsi="Times New Roman"/>
          <w:sz w:val="24"/>
          <w:szCs w:val="24"/>
          <w:lang w:val="en-GB" w:eastAsia="en-GB"/>
        </w:rPr>
        <w:t xml:space="preserve"> (2014) </w:t>
      </w:r>
      <w:r w:rsidR="00BF3E43" w:rsidRPr="00473C61">
        <w:rPr>
          <w:rFonts w:ascii="Times New Roman" w:hAnsi="Times New Roman"/>
          <w:sz w:val="24"/>
          <w:szCs w:val="24"/>
          <w:lang w:val="en-GB" w:eastAsia="en-GB"/>
        </w:rPr>
        <w:t>in its Global Financial Development Report which states that, ‘ ..</w:t>
      </w:r>
      <w:r w:rsidR="00BF3E43" w:rsidRPr="00473C61">
        <w:rPr>
          <w:rFonts w:ascii="Times New Roman" w:eastAsia="Times New Roman" w:hAnsi="Times New Roman"/>
          <w:sz w:val="24"/>
          <w:szCs w:val="24"/>
          <w:lang w:val="en-GB" w:eastAsia="en-GB"/>
        </w:rPr>
        <w:t xml:space="preserve">access to financial services has a critical role in reducing extreme poverty, boosting  shared prosperity, and supporting inclusive and sustainable development. The interest also derives from a growing recognition of the large gaps in financial inclusion’ </w:t>
      </w:r>
      <w:r w:rsidR="005A6EBA" w:rsidRPr="00473C61">
        <w:rPr>
          <w:rFonts w:ascii="Times New Roman" w:eastAsia="Times New Roman" w:hAnsi="Times New Roman"/>
          <w:sz w:val="24"/>
          <w:szCs w:val="24"/>
          <w:lang w:val="en-GB" w:eastAsia="en-GB"/>
        </w:rPr>
        <w:t>(</w:t>
      </w:r>
      <w:r w:rsidR="00BF3E43" w:rsidRPr="00473C61">
        <w:rPr>
          <w:rFonts w:ascii="Times New Roman" w:eastAsia="Times New Roman" w:hAnsi="Times New Roman"/>
          <w:sz w:val="24"/>
          <w:szCs w:val="24"/>
          <w:lang w:val="en-GB" w:eastAsia="en-GB"/>
        </w:rPr>
        <w:t>p.1</w:t>
      </w:r>
      <w:r w:rsidR="005A6EBA" w:rsidRPr="00473C61">
        <w:rPr>
          <w:rFonts w:ascii="Times New Roman" w:eastAsia="Times New Roman" w:hAnsi="Times New Roman"/>
          <w:sz w:val="24"/>
          <w:szCs w:val="24"/>
          <w:lang w:val="en-GB" w:eastAsia="en-GB"/>
        </w:rPr>
        <w:t>)</w:t>
      </w:r>
      <w:r w:rsidR="00EF769B" w:rsidRPr="00473C61">
        <w:rPr>
          <w:rFonts w:ascii="Times New Roman" w:eastAsia="Times New Roman" w:hAnsi="Times New Roman"/>
          <w:sz w:val="24"/>
          <w:szCs w:val="24"/>
          <w:lang w:val="en-GB" w:eastAsia="en-GB"/>
        </w:rPr>
        <w:t>. The report documents the findings of Demirguc-Kunt and Klapper (2012</w:t>
      </w:r>
      <w:r w:rsidR="00AE6022" w:rsidRPr="00473C61">
        <w:rPr>
          <w:rFonts w:ascii="Times New Roman" w:eastAsia="Times New Roman" w:hAnsi="Times New Roman"/>
          <w:sz w:val="24"/>
          <w:szCs w:val="24"/>
          <w:lang w:val="en-GB" w:eastAsia="en-GB"/>
        </w:rPr>
        <w:t>a, b</w:t>
      </w:r>
      <w:r w:rsidR="00EF769B" w:rsidRPr="00473C61">
        <w:rPr>
          <w:rFonts w:ascii="Times New Roman" w:eastAsia="Times New Roman" w:hAnsi="Times New Roman"/>
          <w:sz w:val="24"/>
          <w:szCs w:val="24"/>
          <w:lang w:val="en-GB" w:eastAsia="en-GB"/>
        </w:rPr>
        <w:t xml:space="preserve">, 2013) among others, and uses a variety of indicators </w:t>
      </w:r>
      <w:r w:rsidR="00E6387C" w:rsidRPr="00473C61">
        <w:rPr>
          <w:rFonts w:ascii="Times New Roman" w:eastAsia="Times New Roman" w:hAnsi="Times New Roman"/>
          <w:sz w:val="24"/>
          <w:szCs w:val="24"/>
          <w:lang w:val="en-GB" w:eastAsia="en-GB"/>
        </w:rPr>
        <w:t xml:space="preserve">(including access to </w:t>
      </w:r>
      <w:r w:rsidR="00E6387C" w:rsidRPr="00473C61">
        <w:rPr>
          <w:rFonts w:ascii="Times New Roman" w:eastAsia="Times New Roman" w:hAnsi="Times New Roman"/>
          <w:sz w:val="24"/>
          <w:szCs w:val="24"/>
          <w:lang w:val="en-GB" w:eastAsia="en-GB"/>
        </w:rPr>
        <w:lastRenderedPageBreak/>
        <w:t xml:space="preserve">basic bank accounts, credit products and payment media) </w:t>
      </w:r>
      <w:r w:rsidR="00EF769B" w:rsidRPr="00473C61">
        <w:rPr>
          <w:rFonts w:ascii="Times New Roman" w:eastAsia="Times New Roman" w:hAnsi="Times New Roman"/>
          <w:sz w:val="24"/>
          <w:szCs w:val="24"/>
          <w:lang w:val="en-GB" w:eastAsia="en-GB"/>
        </w:rPr>
        <w:t xml:space="preserve">to measure </w:t>
      </w:r>
      <w:r w:rsidR="008E2B98" w:rsidRPr="00473C61">
        <w:rPr>
          <w:rFonts w:ascii="Times New Roman" w:eastAsia="Times New Roman" w:hAnsi="Times New Roman"/>
          <w:sz w:val="24"/>
          <w:szCs w:val="24"/>
          <w:lang w:val="en-GB" w:eastAsia="en-GB"/>
        </w:rPr>
        <w:t xml:space="preserve">global </w:t>
      </w:r>
      <w:r w:rsidR="00EF769B" w:rsidRPr="00473C61">
        <w:rPr>
          <w:rFonts w:ascii="Times New Roman" w:eastAsia="Times New Roman" w:hAnsi="Times New Roman"/>
          <w:sz w:val="24"/>
          <w:szCs w:val="24"/>
          <w:lang w:val="en-GB" w:eastAsia="en-GB"/>
        </w:rPr>
        <w:t>access to financial service</w:t>
      </w:r>
      <w:r w:rsidR="008E2B98" w:rsidRPr="00473C61">
        <w:rPr>
          <w:rFonts w:ascii="Times New Roman" w:eastAsia="Times New Roman" w:hAnsi="Times New Roman"/>
          <w:sz w:val="24"/>
          <w:szCs w:val="24"/>
          <w:lang w:val="en-GB" w:eastAsia="en-GB"/>
        </w:rPr>
        <w:t>s</w:t>
      </w:r>
      <w:r w:rsidR="00E6387C" w:rsidRPr="00473C61">
        <w:rPr>
          <w:rFonts w:ascii="Times New Roman" w:eastAsia="Times New Roman" w:hAnsi="Times New Roman"/>
          <w:sz w:val="24"/>
          <w:szCs w:val="24"/>
          <w:lang w:val="en-GB" w:eastAsia="en-GB"/>
        </w:rPr>
        <w:t>. The World Bank (2014) reports that half the world</w:t>
      </w:r>
      <w:r w:rsidR="00AE6022" w:rsidRPr="00473C61">
        <w:rPr>
          <w:rFonts w:ascii="Times New Roman" w:eastAsia="Times New Roman" w:hAnsi="Times New Roman"/>
          <w:sz w:val="24"/>
          <w:szCs w:val="24"/>
          <w:lang w:val="en-GB" w:eastAsia="en-GB"/>
        </w:rPr>
        <w:t>’</w:t>
      </w:r>
      <w:r w:rsidR="00E6387C" w:rsidRPr="00473C61">
        <w:rPr>
          <w:rFonts w:ascii="Times New Roman" w:eastAsia="Times New Roman" w:hAnsi="Times New Roman"/>
          <w:sz w:val="24"/>
          <w:szCs w:val="24"/>
          <w:lang w:val="en-GB" w:eastAsia="en-GB"/>
        </w:rPr>
        <w:t>s adult population</w:t>
      </w:r>
      <w:r w:rsidR="00AE6022" w:rsidRPr="00473C61">
        <w:rPr>
          <w:rFonts w:ascii="Times New Roman" w:eastAsia="Times New Roman" w:hAnsi="Times New Roman"/>
          <w:sz w:val="24"/>
          <w:szCs w:val="24"/>
          <w:lang w:val="en-GB" w:eastAsia="en-GB"/>
        </w:rPr>
        <w:t xml:space="preserve"> -</w:t>
      </w:r>
      <w:r w:rsidR="00E6387C" w:rsidRPr="00473C61">
        <w:rPr>
          <w:rFonts w:ascii="Times New Roman" w:eastAsia="Times New Roman" w:hAnsi="Times New Roman"/>
          <w:sz w:val="24"/>
          <w:szCs w:val="24"/>
          <w:lang w:val="en-GB" w:eastAsia="en-GB"/>
        </w:rPr>
        <w:t xml:space="preserve"> some</w:t>
      </w:r>
      <w:r w:rsidR="00746A53" w:rsidRPr="00473C61">
        <w:rPr>
          <w:rFonts w:ascii="Times New Roman" w:eastAsia="Times New Roman" w:hAnsi="Times New Roman"/>
          <w:sz w:val="24"/>
          <w:szCs w:val="24"/>
          <w:lang w:val="en-GB" w:eastAsia="en-GB"/>
        </w:rPr>
        <w:t xml:space="preserve"> 2.5 billion </w:t>
      </w:r>
      <w:r w:rsidR="00E6387C" w:rsidRPr="00473C61">
        <w:rPr>
          <w:rFonts w:ascii="Times New Roman" w:eastAsia="Times New Roman" w:hAnsi="Times New Roman"/>
          <w:sz w:val="24"/>
          <w:szCs w:val="24"/>
          <w:lang w:val="en-GB" w:eastAsia="en-GB"/>
        </w:rPr>
        <w:t>individuals</w:t>
      </w:r>
      <w:r w:rsidR="00AE6022" w:rsidRPr="00473C61">
        <w:rPr>
          <w:rFonts w:ascii="Times New Roman" w:eastAsia="Times New Roman" w:hAnsi="Times New Roman"/>
          <w:sz w:val="24"/>
          <w:szCs w:val="24"/>
          <w:lang w:val="en-GB" w:eastAsia="en-GB"/>
        </w:rPr>
        <w:t xml:space="preserve"> -</w:t>
      </w:r>
      <w:r w:rsidR="00E6387C" w:rsidRPr="00473C61">
        <w:rPr>
          <w:rFonts w:ascii="Times New Roman" w:eastAsia="Times New Roman" w:hAnsi="Times New Roman"/>
          <w:sz w:val="24"/>
          <w:szCs w:val="24"/>
          <w:lang w:val="en-GB" w:eastAsia="en-GB"/>
        </w:rPr>
        <w:t xml:space="preserve"> </w:t>
      </w:r>
      <w:r w:rsidR="00746A53" w:rsidRPr="00473C61">
        <w:rPr>
          <w:rFonts w:ascii="Times New Roman" w:eastAsia="Times New Roman" w:hAnsi="Times New Roman"/>
          <w:sz w:val="24"/>
          <w:szCs w:val="24"/>
          <w:lang w:val="en-GB" w:eastAsia="en-GB"/>
        </w:rPr>
        <w:t>have</w:t>
      </w:r>
      <w:r w:rsidR="00AE6022" w:rsidRPr="00473C61">
        <w:rPr>
          <w:rFonts w:ascii="Times New Roman" w:eastAsia="Times New Roman" w:hAnsi="Times New Roman"/>
          <w:sz w:val="24"/>
          <w:szCs w:val="24"/>
          <w:lang w:val="en-GB" w:eastAsia="en-GB"/>
        </w:rPr>
        <w:t xml:space="preserve"> no</w:t>
      </w:r>
      <w:r w:rsidR="00746A53" w:rsidRPr="00473C61">
        <w:rPr>
          <w:rFonts w:ascii="Times New Roman" w:eastAsia="Times New Roman" w:hAnsi="Times New Roman"/>
          <w:sz w:val="24"/>
          <w:szCs w:val="24"/>
          <w:lang w:val="en-GB" w:eastAsia="en-GB"/>
        </w:rPr>
        <w:t xml:space="preserve"> access to basic financial services. While this work has </w:t>
      </w:r>
      <w:r w:rsidR="00926F3F" w:rsidRPr="00473C61">
        <w:rPr>
          <w:rFonts w:ascii="Times New Roman" w:eastAsia="Times New Roman" w:hAnsi="Times New Roman"/>
          <w:sz w:val="24"/>
          <w:szCs w:val="24"/>
          <w:lang w:val="en-GB" w:eastAsia="en-GB"/>
        </w:rPr>
        <w:t>been a</w:t>
      </w:r>
      <w:r w:rsidR="008E2B98" w:rsidRPr="00473C61">
        <w:rPr>
          <w:rFonts w:ascii="Times New Roman" w:eastAsia="Times New Roman" w:hAnsi="Times New Roman"/>
          <w:sz w:val="24"/>
          <w:szCs w:val="24"/>
          <w:lang w:val="en-GB" w:eastAsia="en-GB"/>
        </w:rPr>
        <w:t>n</w:t>
      </w:r>
      <w:r w:rsidR="00767752" w:rsidRPr="00473C61">
        <w:rPr>
          <w:rFonts w:ascii="Times New Roman" w:eastAsia="Times New Roman" w:hAnsi="Times New Roman"/>
          <w:sz w:val="24"/>
          <w:szCs w:val="24"/>
          <w:lang w:val="en-GB" w:eastAsia="en-GB"/>
        </w:rPr>
        <w:t xml:space="preserve"> </w:t>
      </w:r>
      <w:r w:rsidR="00746A53" w:rsidRPr="00473C61">
        <w:rPr>
          <w:rFonts w:ascii="Times New Roman" w:eastAsia="Times New Roman" w:hAnsi="Times New Roman"/>
          <w:sz w:val="24"/>
          <w:szCs w:val="24"/>
          <w:lang w:val="en-GB" w:eastAsia="en-GB"/>
        </w:rPr>
        <w:t xml:space="preserve">impetus for the </w:t>
      </w:r>
      <w:r w:rsidR="008E2B98" w:rsidRPr="00473C61">
        <w:rPr>
          <w:rFonts w:ascii="Times New Roman" w:eastAsia="Times New Roman" w:hAnsi="Times New Roman"/>
          <w:sz w:val="24"/>
          <w:szCs w:val="24"/>
          <w:lang w:val="en-GB" w:eastAsia="en-GB"/>
        </w:rPr>
        <w:t xml:space="preserve">recent </w:t>
      </w:r>
      <w:r w:rsidR="00746A53" w:rsidRPr="00473C61">
        <w:rPr>
          <w:rFonts w:ascii="Times New Roman" w:eastAsia="Times New Roman" w:hAnsi="Times New Roman"/>
          <w:sz w:val="24"/>
          <w:szCs w:val="24"/>
          <w:lang w:val="en-GB" w:eastAsia="en-GB"/>
        </w:rPr>
        <w:t xml:space="preserve">study of </w:t>
      </w:r>
      <w:r w:rsidR="00BA4353" w:rsidRPr="00473C61">
        <w:rPr>
          <w:rFonts w:ascii="Times New Roman" w:eastAsia="Times New Roman" w:hAnsi="Times New Roman"/>
          <w:sz w:val="24"/>
          <w:szCs w:val="24"/>
          <w:lang w:val="en-GB" w:eastAsia="en-GB"/>
        </w:rPr>
        <w:t xml:space="preserve">access to finance </w:t>
      </w:r>
      <w:r w:rsidR="00746A53" w:rsidRPr="00473C61">
        <w:rPr>
          <w:rFonts w:ascii="Times New Roman" w:eastAsia="Times New Roman" w:hAnsi="Times New Roman"/>
          <w:sz w:val="24"/>
          <w:szCs w:val="24"/>
          <w:lang w:val="en-GB" w:eastAsia="en-GB"/>
        </w:rPr>
        <w:t>in</w:t>
      </w:r>
      <w:r w:rsidR="00BA4353" w:rsidRPr="00473C61">
        <w:rPr>
          <w:rFonts w:ascii="Times New Roman" w:eastAsia="Times New Roman" w:hAnsi="Times New Roman"/>
          <w:sz w:val="24"/>
          <w:szCs w:val="24"/>
          <w:lang w:val="en-GB" w:eastAsia="en-GB"/>
        </w:rPr>
        <w:t xml:space="preserve"> </w:t>
      </w:r>
      <w:r w:rsidR="00746A53" w:rsidRPr="00473C61">
        <w:rPr>
          <w:rFonts w:ascii="Times New Roman" w:eastAsia="Times New Roman" w:hAnsi="Times New Roman"/>
          <w:sz w:val="24"/>
          <w:szCs w:val="24"/>
          <w:lang w:val="en-GB" w:eastAsia="en-GB"/>
        </w:rPr>
        <w:t>developing economies</w:t>
      </w:r>
      <w:r w:rsidR="00972765" w:rsidRPr="00473C61">
        <w:rPr>
          <w:rStyle w:val="Rimandonotaapidipagina"/>
          <w:rFonts w:ascii="Times New Roman" w:eastAsia="Times New Roman" w:hAnsi="Times New Roman"/>
          <w:sz w:val="24"/>
          <w:szCs w:val="24"/>
          <w:lang w:val="en-GB" w:eastAsia="en-GB"/>
        </w:rPr>
        <w:footnoteReference w:id="2"/>
      </w:r>
      <w:r w:rsidR="00746A53" w:rsidRPr="00473C61">
        <w:rPr>
          <w:rFonts w:ascii="Times New Roman" w:eastAsia="Times New Roman" w:hAnsi="Times New Roman"/>
          <w:sz w:val="24"/>
          <w:szCs w:val="24"/>
          <w:lang w:val="en-GB" w:eastAsia="en-GB"/>
        </w:rPr>
        <w:t xml:space="preserve">, </w:t>
      </w:r>
      <w:r w:rsidR="008E2B98" w:rsidRPr="00473C61">
        <w:rPr>
          <w:rFonts w:ascii="Times New Roman" w:eastAsia="Times New Roman" w:hAnsi="Times New Roman"/>
          <w:sz w:val="24"/>
          <w:szCs w:val="24"/>
          <w:lang w:val="en-GB" w:eastAsia="en-GB"/>
        </w:rPr>
        <w:t xml:space="preserve">previous literature has tended to focus on </w:t>
      </w:r>
      <w:r w:rsidR="00767752" w:rsidRPr="00473C61">
        <w:rPr>
          <w:rFonts w:ascii="Times New Roman" w:hAnsi="Times New Roman"/>
          <w:sz w:val="24"/>
          <w:szCs w:val="24"/>
          <w:lang w:val="en-GB" w:eastAsia="en-GB"/>
        </w:rPr>
        <w:t>advanced countries</w:t>
      </w:r>
      <w:r w:rsidR="00E517F1" w:rsidRPr="00473C61">
        <w:rPr>
          <w:rFonts w:ascii="Times New Roman" w:hAnsi="Times New Roman"/>
          <w:sz w:val="24"/>
          <w:szCs w:val="24"/>
          <w:lang w:val="en-GB" w:eastAsia="en-GB"/>
        </w:rPr>
        <w:t xml:space="preserve">. In the </w:t>
      </w:r>
      <w:r w:rsidR="00B716F5" w:rsidRPr="00473C61">
        <w:rPr>
          <w:rFonts w:ascii="Times New Roman" w:hAnsi="Times New Roman"/>
          <w:sz w:val="24"/>
          <w:szCs w:val="24"/>
          <w:lang w:val="en-GB" w:eastAsia="en-GB"/>
        </w:rPr>
        <w:t>U.S.</w:t>
      </w:r>
      <w:r w:rsidR="008E2B98" w:rsidRPr="00473C61">
        <w:rPr>
          <w:rFonts w:ascii="Times New Roman" w:hAnsi="Times New Roman"/>
          <w:sz w:val="24"/>
          <w:szCs w:val="24"/>
          <w:lang w:val="en-GB" w:eastAsia="en-GB"/>
        </w:rPr>
        <w:t xml:space="preserve"> </w:t>
      </w:r>
      <w:r w:rsidR="005A6EBA" w:rsidRPr="00473C61">
        <w:rPr>
          <w:rFonts w:ascii="Times New Roman" w:hAnsi="Times New Roman"/>
          <w:sz w:val="24"/>
          <w:szCs w:val="24"/>
          <w:lang w:val="en-GB" w:eastAsia="en-GB"/>
        </w:rPr>
        <w:t>for</w:t>
      </w:r>
      <w:r w:rsidR="008E2B98" w:rsidRPr="00473C61">
        <w:rPr>
          <w:rFonts w:ascii="Times New Roman" w:hAnsi="Times New Roman"/>
          <w:sz w:val="24"/>
          <w:szCs w:val="24"/>
          <w:lang w:val="en-GB" w:eastAsia="en-GB"/>
        </w:rPr>
        <w:t xml:space="preserve"> instance,</w:t>
      </w:r>
      <w:r w:rsidR="00B716F5" w:rsidRPr="00473C61">
        <w:rPr>
          <w:rFonts w:ascii="Times New Roman" w:hAnsi="Times New Roman"/>
          <w:sz w:val="24"/>
          <w:szCs w:val="24"/>
          <w:lang w:val="en-GB" w:eastAsia="en-GB"/>
        </w:rPr>
        <w:t xml:space="preserve"> </w:t>
      </w:r>
      <w:r w:rsidR="0041323E" w:rsidRPr="00473C61">
        <w:rPr>
          <w:rFonts w:ascii="Times New Roman" w:hAnsi="Times New Roman"/>
          <w:sz w:val="24"/>
          <w:szCs w:val="24"/>
          <w:lang w:val="en-GB" w:eastAsia="en-GB"/>
        </w:rPr>
        <w:t>Hogarth et al.</w:t>
      </w:r>
      <w:r w:rsidR="00982BD7" w:rsidRPr="00473C61">
        <w:rPr>
          <w:rFonts w:ascii="Times New Roman" w:hAnsi="Times New Roman"/>
          <w:sz w:val="24"/>
          <w:szCs w:val="24"/>
          <w:lang w:val="en-GB" w:eastAsia="en-GB"/>
        </w:rPr>
        <w:t xml:space="preserve"> </w:t>
      </w:r>
      <w:r w:rsidR="0041323E" w:rsidRPr="00473C61">
        <w:rPr>
          <w:rFonts w:ascii="Times New Roman" w:hAnsi="Times New Roman"/>
          <w:sz w:val="24"/>
          <w:szCs w:val="24"/>
          <w:lang w:val="en-GB" w:eastAsia="en-GB"/>
        </w:rPr>
        <w:t xml:space="preserve">(2005) </w:t>
      </w:r>
      <w:r w:rsidR="00704DC7" w:rsidRPr="00473C61">
        <w:rPr>
          <w:rFonts w:ascii="Times New Roman" w:hAnsi="Times New Roman"/>
          <w:sz w:val="24"/>
          <w:szCs w:val="24"/>
          <w:lang w:val="en-GB" w:eastAsia="en-GB"/>
        </w:rPr>
        <w:t xml:space="preserve">and Bucks et al. (2009) </w:t>
      </w:r>
      <w:r w:rsidR="0041323E" w:rsidRPr="00473C61">
        <w:rPr>
          <w:rFonts w:ascii="Times New Roman" w:hAnsi="Times New Roman"/>
          <w:sz w:val="24"/>
          <w:szCs w:val="24"/>
          <w:lang w:val="en-GB" w:eastAsia="en-GB"/>
        </w:rPr>
        <w:t>report that the financially excluded (also termed as unbanked) portion of the population decline</w:t>
      </w:r>
      <w:r w:rsidR="00A96F76" w:rsidRPr="00473C61">
        <w:rPr>
          <w:rFonts w:ascii="Times New Roman" w:hAnsi="Times New Roman"/>
          <w:sz w:val="24"/>
          <w:szCs w:val="24"/>
          <w:lang w:val="en-GB" w:eastAsia="en-GB"/>
        </w:rPr>
        <w:t>d from 14.6 percent in 1989 to 8.7 percent in 2004</w:t>
      </w:r>
      <w:r w:rsidR="0041323E" w:rsidRPr="00473C61">
        <w:rPr>
          <w:rFonts w:ascii="Times New Roman" w:hAnsi="Times New Roman"/>
          <w:sz w:val="24"/>
          <w:szCs w:val="24"/>
          <w:lang w:val="en-GB" w:eastAsia="en-GB"/>
        </w:rPr>
        <w:t xml:space="preserve">.  They characterised a typical household who had access to financial products and services </w:t>
      </w:r>
      <w:r w:rsidR="00E517F1" w:rsidRPr="00473C61">
        <w:rPr>
          <w:rFonts w:ascii="Times New Roman" w:hAnsi="Times New Roman"/>
          <w:sz w:val="24"/>
          <w:szCs w:val="24"/>
          <w:lang w:val="en-GB" w:eastAsia="en-GB"/>
        </w:rPr>
        <w:t xml:space="preserve">as one with </w:t>
      </w:r>
      <w:r w:rsidR="0041323E" w:rsidRPr="00473C61">
        <w:rPr>
          <w:rFonts w:ascii="Times New Roman" w:hAnsi="Times New Roman"/>
          <w:sz w:val="24"/>
          <w:szCs w:val="24"/>
          <w:lang w:val="en-GB" w:eastAsia="en-GB"/>
        </w:rPr>
        <w:t>higher income,</w:t>
      </w:r>
      <w:r w:rsidR="00E517F1" w:rsidRPr="00473C61">
        <w:rPr>
          <w:rFonts w:ascii="Times New Roman" w:hAnsi="Times New Roman"/>
          <w:sz w:val="24"/>
          <w:szCs w:val="24"/>
          <w:lang w:val="en-GB" w:eastAsia="en-GB"/>
        </w:rPr>
        <w:t xml:space="preserve"> secure employment,</w:t>
      </w:r>
      <w:r w:rsidR="0041323E" w:rsidRPr="00473C61">
        <w:rPr>
          <w:rFonts w:ascii="Times New Roman" w:hAnsi="Times New Roman"/>
          <w:sz w:val="24"/>
          <w:szCs w:val="24"/>
          <w:lang w:val="en-GB" w:eastAsia="en-GB"/>
        </w:rPr>
        <w:t xml:space="preserve"> </w:t>
      </w:r>
      <w:r w:rsidR="00E517F1" w:rsidRPr="00473C61">
        <w:rPr>
          <w:rFonts w:ascii="Times New Roman" w:hAnsi="Times New Roman"/>
          <w:sz w:val="24"/>
          <w:szCs w:val="24"/>
          <w:lang w:val="en-GB" w:eastAsia="en-GB"/>
        </w:rPr>
        <w:t xml:space="preserve">being </w:t>
      </w:r>
      <w:r w:rsidR="0041323E" w:rsidRPr="00473C61">
        <w:rPr>
          <w:rFonts w:ascii="Times New Roman" w:hAnsi="Times New Roman"/>
          <w:sz w:val="24"/>
          <w:szCs w:val="24"/>
          <w:lang w:val="en-GB" w:eastAsia="en-GB"/>
        </w:rPr>
        <w:t xml:space="preserve">home </w:t>
      </w:r>
      <w:r w:rsidR="00E517F1" w:rsidRPr="00473C61">
        <w:rPr>
          <w:rFonts w:ascii="Times New Roman" w:hAnsi="Times New Roman"/>
          <w:sz w:val="24"/>
          <w:szCs w:val="24"/>
          <w:lang w:val="en-GB" w:eastAsia="en-GB"/>
        </w:rPr>
        <w:t xml:space="preserve">owners with better levels of </w:t>
      </w:r>
      <w:r w:rsidR="0041323E" w:rsidRPr="00473C61">
        <w:rPr>
          <w:rFonts w:ascii="Times New Roman" w:hAnsi="Times New Roman"/>
          <w:sz w:val="24"/>
          <w:szCs w:val="24"/>
          <w:lang w:val="en-GB" w:eastAsia="en-GB"/>
        </w:rPr>
        <w:t>higher education</w:t>
      </w:r>
      <w:r w:rsidR="00E517F1" w:rsidRPr="00473C61">
        <w:rPr>
          <w:rFonts w:ascii="Times New Roman" w:hAnsi="Times New Roman"/>
          <w:sz w:val="24"/>
          <w:szCs w:val="24"/>
          <w:lang w:val="en-GB" w:eastAsia="en-GB"/>
        </w:rPr>
        <w:t xml:space="preserve"> and of </w:t>
      </w:r>
      <w:r w:rsidR="00704DC7" w:rsidRPr="00473C61">
        <w:rPr>
          <w:rFonts w:ascii="Times New Roman" w:hAnsi="Times New Roman"/>
          <w:sz w:val="24"/>
          <w:szCs w:val="24"/>
          <w:lang w:val="en-GB" w:eastAsia="en-GB"/>
        </w:rPr>
        <w:t>white</w:t>
      </w:r>
      <w:r w:rsidR="00E517F1" w:rsidRPr="00473C61">
        <w:rPr>
          <w:rFonts w:ascii="Times New Roman" w:hAnsi="Times New Roman"/>
          <w:sz w:val="24"/>
          <w:szCs w:val="24"/>
          <w:lang w:val="en-GB" w:eastAsia="en-GB"/>
        </w:rPr>
        <w:t xml:space="preserve"> ethnic background</w:t>
      </w:r>
      <w:r w:rsidR="0041323E" w:rsidRPr="00473C61">
        <w:rPr>
          <w:rFonts w:ascii="Times New Roman" w:hAnsi="Times New Roman"/>
          <w:sz w:val="24"/>
          <w:szCs w:val="24"/>
          <w:lang w:val="en-GB" w:eastAsia="en-GB"/>
        </w:rPr>
        <w:t>.  In Europe</w:t>
      </w:r>
      <w:r w:rsidR="00C74AC7" w:rsidRPr="00473C61">
        <w:rPr>
          <w:rFonts w:ascii="Times New Roman" w:hAnsi="Times New Roman"/>
          <w:sz w:val="24"/>
          <w:szCs w:val="24"/>
          <w:lang w:val="en-GB" w:eastAsia="en-GB"/>
        </w:rPr>
        <w:t>,</w:t>
      </w:r>
      <w:r w:rsidR="0041323E" w:rsidRPr="00473C61">
        <w:rPr>
          <w:rFonts w:ascii="Times New Roman" w:hAnsi="Times New Roman"/>
          <w:sz w:val="24"/>
          <w:szCs w:val="24"/>
          <w:lang w:val="en-GB" w:eastAsia="en-GB"/>
        </w:rPr>
        <w:t xml:space="preserve"> the population of </w:t>
      </w:r>
      <w:r w:rsidR="00704DC7" w:rsidRPr="00473C61">
        <w:rPr>
          <w:rFonts w:ascii="Times New Roman" w:hAnsi="Times New Roman"/>
          <w:sz w:val="24"/>
          <w:szCs w:val="24"/>
          <w:lang w:val="en-GB" w:eastAsia="en-GB"/>
        </w:rPr>
        <w:t>financially excluded</w:t>
      </w:r>
      <w:r w:rsidR="0041323E" w:rsidRPr="00473C61">
        <w:rPr>
          <w:rFonts w:ascii="Times New Roman" w:hAnsi="Times New Roman"/>
          <w:sz w:val="24"/>
          <w:szCs w:val="24"/>
          <w:lang w:val="en-GB" w:eastAsia="en-GB"/>
        </w:rPr>
        <w:t xml:space="preserve"> households </w:t>
      </w:r>
      <w:r w:rsidR="00E6387C" w:rsidRPr="00473C61">
        <w:rPr>
          <w:rFonts w:ascii="Times New Roman" w:hAnsi="Times New Roman"/>
          <w:sz w:val="24"/>
          <w:szCs w:val="24"/>
          <w:lang w:val="en-GB" w:eastAsia="en-GB"/>
        </w:rPr>
        <w:t xml:space="preserve">(those without a basic bank account) </w:t>
      </w:r>
      <w:r w:rsidR="0041323E" w:rsidRPr="00473C61">
        <w:rPr>
          <w:rFonts w:ascii="Times New Roman" w:hAnsi="Times New Roman"/>
          <w:sz w:val="24"/>
          <w:szCs w:val="24"/>
          <w:lang w:val="en-GB" w:eastAsia="en-GB"/>
        </w:rPr>
        <w:t>varies extensively</w:t>
      </w:r>
      <w:r w:rsidR="00AD41E8" w:rsidRPr="00473C61">
        <w:rPr>
          <w:rFonts w:ascii="Times New Roman" w:hAnsi="Times New Roman"/>
          <w:sz w:val="24"/>
          <w:szCs w:val="24"/>
          <w:lang w:val="en-GB" w:eastAsia="en-GB"/>
        </w:rPr>
        <w:t>,</w:t>
      </w:r>
      <w:r w:rsidR="00C66B98" w:rsidRPr="00473C61">
        <w:rPr>
          <w:rFonts w:ascii="Times New Roman" w:hAnsi="Times New Roman"/>
          <w:sz w:val="24"/>
          <w:szCs w:val="24"/>
          <w:lang w:val="en-GB" w:eastAsia="en-GB"/>
        </w:rPr>
        <w:t xml:space="preserve"> ranging from 1 percent in Denmark to 36 percent in Greece</w:t>
      </w:r>
      <w:r w:rsidR="00746A53" w:rsidRPr="00473C61">
        <w:rPr>
          <w:rFonts w:ascii="Times New Roman" w:hAnsi="Times New Roman"/>
          <w:sz w:val="24"/>
          <w:szCs w:val="24"/>
          <w:lang w:val="en-GB" w:eastAsia="en-GB"/>
        </w:rPr>
        <w:t>,</w:t>
      </w:r>
      <w:r w:rsidR="00C66B98" w:rsidRPr="00473C61">
        <w:rPr>
          <w:rFonts w:ascii="Times New Roman" w:hAnsi="Times New Roman"/>
          <w:sz w:val="24"/>
          <w:szCs w:val="24"/>
          <w:lang w:val="en-GB" w:eastAsia="en-GB"/>
        </w:rPr>
        <w:t xml:space="preserve"> </w:t>
      </w:r>
      <w:r w:rsidR="00E517F1" w:rsidRPr="00473C61">
        <w:rPr>
          <w:rFonts w:ascii="Times New Roman" w:hAnsi="Times New Roman"/>
          <w:sz w:val="24"/>
          <w:szCs w:val="24"/>
          <w:lang w:val="en-GB" w:eastAsia="en-GB"/>
        </w:rPr>
        <w:t xml:space="preserve">with </w:t>
      </w:r>
      <w:r w:rsidR="00C60354" w:rsidRPr="00473C61">
        <w:rPr>
          <w:rFonts w:ascii="Times New Roman" w:hAnsi="Times New Roman"/>
          <w:sz w:val="24"/>
          <w:szCs w:val="24"/>
          <w:lang w:val="en-GB" w:eastAsia="en-GB"/>
        </w:rPr>
        <w:t xml:space="preserve">similar attributes </w:t>
      </w:r>
      <w:r w:rsidR="00E517F1" w:rsidRPr="00473C61">
        <w:rPr>
          <w:rFonts w:ascii="Times New Roman" w:hAnsi="Times New Roman"/>
          <w:sz w:val="24"/>
          <w:szCs w:val="24"/>
          <w:lang w:val="en-GB" w:eastAsia="en-GB"/>
        </w:rPr>
        <w:t xml:space="preserve">to those </w:t>
      </w:r>
      <w:r w:rsidR="00746A53" w:rsidRPr="00473C61">
        <w:rPr>
          <w:rFonts w:ascii="Times New Roman" w:hAnsi="Times New Roman"/>
          <w:sz w:val="24"/>
          <w:szCs w:val="24"/>
          <w:lang w:val="en-GB" w:eastAsia="en-GB"/>
        </w:rPr>
        <w:t xml:space="preserve">as </w:t>
      </w:r>
      <w:r w:rsidR="00E517F1" w:rsidRPr="00473C61">
        <w:rPr>
          <w:rFonts w:ascii="Times New Roman" w:hAnsi="Times New Roman"/>
          <w:sz w:val="24"/>
          <w:szCs w:val="24"/>
          <w:lang w:val="en-GB" w:eastAsia="en-GB"/>
        </w:rPr>
        <w:t xml:space="preserve">already mentioned determining </w:t>
      </w:r>
      <w:r w:rsidR="00C60354" w:rsidRPr="00473C61">
        <w:rPr>
          <w:rFonts w:ascii="Times New Roman" w:hAnsi="Times New Roman"/>
          <w:sz w:val="24"/>
          <w:szCs w:val="24"/>
          <w:lang w:val="en-GB" w:eastAsia="en-GB"/>
        </w:rPr>
        <w:t>exclusion (Carbo et al., 2007)</w:t>
      </w:r>
      <w:r w:rsidR="00C66B98" w:rsidRPr="00473C61">
        <w:rPr>
          <w:rFonts w:ascii="Times New Roman" w:hAnsi="Times New Roman"/>
          <w:sz w:val="24"/>
          <w:szCs w:val="24"/>
          <w:lang w:val="en-GB" w:eastAsia="en-GB"/>
        </w:rPr>
        <w:t xml:space="preserve">.  In the UK </w:t>
      </w:r>
      <w:r w:rsidR="00C60354" w:rsidRPr="00473C61">
        <w:rPr>
          <w:rFonts w:ascii="Times New Roman" w:hAnsi="Times New Roman"/>
          <w:sz w:val="24"/>
          <w:szCs w:val="24"/>
          <w:lang w:val="en-GB" w:eastAsia="en-GB"/>
        </w:rPr>
        <w:t xml:space="preserve">around </w:t>
      </w:r>
      <w:r w:rsidR="00B80798" w:rsidRPr="00473C61">
        <w:rPr>
          <w:rFonts w:ascii="Times New Roman" w:hAnsi="Times New Roman"/>
          <w:sz w:val="24"/>
          <w:szCs w:val="24"/>
          <w:lang w:val="en-GB" w:eastAsia="en-GB"/>
        </w:rPr>
        <w:t>5</w:t>
      </w:r>
      <w:r w:rsidR="0041323E" w:rsidRPr="00473C61">
        <w:rPr>
          <w:rFonts w:ascii="Times New Roman" w:hAnsi="Times New Roman"/>
          <w:sz w:val="24"/>
          <w:szCs w:val="24"/>
          <w:lang w:val="en-GB" w:eastAsia="en-GB"/>
        </w:rPr>
        <w:t xml:space="preserve"> percent </w:t>
      </w:r>
      <w:r w:rsidR="00B80798" w:rsidRPr="00473C61">
        <w:rPr>
          <w:rFonts w:ascii="Times New Roman" w:hAnsi="Times New Roman"/>
          <w:sz w:val="24"/>
          <w:szCs w:val="24"/>
          <w:lang w:val="en-GB" w:eastAsia="en-GB"/>
        </w:rPr>
        <w:t xml:space="preserve">of </w:t>
      </w:r>
      <w:r w:rsidR="0041323E" w:rsidRPr="00473C61">
        <w:rPr>
          <w:rFonts w:ascii="Times New Roman" w:hAnsi="Times New Roman"/>
          <w:sz w:val="24"/>
          <w:szCs w:val="24"/>
          <w:lang w:val="en-GB" w:eastAsia="en-GB"/>
        </w:rPr>
        <w:t>households lacked a financial product from a mainstream financial institution in 1996</w:t>
      </w:r>
      <w:r w:rsidR="00C66B98" w:rsidRPr="00473C61">
        <w:rPr>
          <w:rFonts w:ascii="Times New Roman" w:hAnsi="Times New Roman"/>
          <w:sz w:val="24"/>
          <w:szCs w:val="24"/>
          <w:lang w:val="en-GB" w:eastAsia="en-GB"/>
        </w:rPr>
        <w:t xml:space="preserve"> (</w:t>
      </w:r>
      <w:r w:rsidR="00B80798" w:rsidRPr="00473C61">
        <w:rPr>
          <w:rFonts w:ascii="Times New Roman" w:hAnsi="Times New Roman"/>
          <w:sz w:val="24"/>
          <w:szCs w:val="24"/>
          <w:lang w:val="en-GB" w:eastAsia="en-GB"/>
        </w:rPr>
        <w:t>FITF, 2009</w:t>
      </w:r>
      <w:r w:rsidR="00C66B98" w:rsidRPr="00473C61">
        <w:rPr>
          <w:rFonts w:ascii="Times New Roman" w:hAnsi="Times New Roman"/>
          <w:sz w:val="24"/>
          <w:szCs w:val="24"/>
          <w:lang w:val="en-GB" w:eastAsia="en-GB"/>
        </w:rPr>
        <w:t>)</w:t>
      </w:r>
      <w:r w:rsidR="0041323E" w:rsidRPr="00473C61">
        <w:rPr>
          <w:rFonts w:ascii="Times New Roman" w:hAnsi="Times New Roman"/>
          <w:sz w:val="24"/>
          <w:szCs w:val="24"/>
          <w:lang w:val="en-GB" w:eastAsia="en-GB"/>
        </w:rPr>
        <w:t xml:space="preserve">.  </w:t>
      </w:r>
      <w:r w:rsidR="00C66B98" w:rsidRPr="00473C61">
        <w:rPr>
          <w:rFonts w:ascii="Times New Roman" w:hAnsi="Times New Roman"/>
          <w:sz w:val="24"/>
          <w:szCs w:val="24"/>
          <w:lang w:val="en-GB" w:eastAsia="en-GB"/>
        </w:rPr>
        <w:t>Employed, mortgager</w:t>
      </w:r>
      <w:r w:rsidR="00376B67" w:rsidRPr="00473C61">
        <w:rPr>
          <w:rFonts w:ascii="Times New Roman" w:hAnsi="Times New Roman"/>
          <w:sz w:val="24"/>
          <w:szCs w:val="24"/>
          <w:lang w:val="en-GB" w:eastAsia="en-GB"/>
        </w:rPr>
        <w:t>s</w:t>
      </w:r>
      <w:r w:rsidR="00C66B98" w:rsidRPr="00473C61">
        <w:rPr>
          <w:rFonts w:ascii="Times New Roman" w:hAnsi="Times New Roman"/>
          <w:sz w:val="24"/>
          <w:szCs w:val="24"/>
          <w:lang w:val="en-GB" w:eastAsia="en-GB"/>
        </w:rPr>
        <w:t xml:space="preserve"> and </w:t>
      </w:r>
      <w:r w:rsidR="0041323E" w:rsidRPr="00473C61">
        <w:rPr>
          <w:rFonts w:ascii="Times New Roman" w:hAnsi="Times New Roman"/>
          <w:sz w:val="24"/>
          <w:szCs w:val="24"/>
          <w:lang w:val="en-GB" w:eastAsia="en-GB"/>
        </w:rPr>
        <w:t>households liv</w:t>
      </w:r>
      <w:r w:rsidR="00C66B98" w:rsidRPr="00473C61">
        <w:rPr>
          <w:rFonts w:ascii="Times New Roman" w:hAnsi="Times New Roman"/>
          <w:sz w:val="24"/>
          <w:szCs w:val="24"/>
          <w:lang w:val="en-GB" w:eastAsia="en-GB"/>
        </w:rPr>
        <w:t>ing</w:t>
      </w:r>
      <w:r w:rsidR="0041323E" w:rsidRPr="00473C61">
        <w:rPr>
          <w:rFonts w:ascii="Times New Roman" w:hAnsi="Times New Roman"/>
          <w:sz w:val="24"/>
          <w:szCs w:val="24"/>
          <w:lang w:val="en-GB" w:eastAsia="en-GB"/>
        </w:rPr>
        <w:t xml:space="preserve"> on </w:t>
      </w:r>
      <w:r w:rsidR="00C66B98" w:rsidRPr="00473C61">
        <w:rPr>
          <w:rFonts w:ascii="Times New Roman" w:hAnsi="Times New Roman"/>
          <w:sz w:val="24"/>
          <w:szCs w:val="24"/>
          <w:lang w:val="en-GB" w:eastAsia="en-GB"/>
        </w:rPr>
        <w:t>high</w:t>
      </w:r>
      <w:r w:rsidR="0041323E" w:rsidRPr="00473C61">
        <w:rPr>
          <w:rFonts w:ascii="Times New Roman" w:hAnsi="Times New Roman"/>
          <w:sz w:val="24"/>
          <w:szCs w:val="24"/>
          <w:lang w:val="en-GB" w:eastAsia="en-GB"/>
        </w:rPr>
        <w:t xml:space="preserve"> income</w:t>
      </w:r>
      <w:r w:rsidR="00C66B98" w:rsidRPr="00473C61">
        <w:rPr>
          <w:rFonts w:ascii="Times New Roman" w:hAnsi="Times New Roman"/>
          <w:sz w:val="24"/>
          <w:szCs w:val="24"/>
          <w:lang w:val="en-GB" w:eastAsia="en-GB"/>
        </w:rPr>
        <w:t xml:space="preserve"> were less likely to </w:t>
      </w:r>
      <w:r w:rsidR="00C74AC7" w:rsidRPr="00473C61">
        <w:rPr>
          <w:rFonts w:ascii="Times New Roman" w:hAnsi="Times New Roman"/>
          <w:sz w:val="24"/>
          <w:szCs w:val="24"/>
          <w:lang w:val="en-GB" w:eastAsia="en-GB"/>
        </w:rPr>
        <w:t>be excluded from b</w:t>
      </w:r>
      <w:r w:rsidR="00E6387C" w:rsidRPr="00473C61">
        <w:rPr>
          <w:rFonts w:ascii="Times New Roman" w:hAnsi="Times New Roman"/>
          <w:sz w:val="24"/>
          <w:szCs w:val="24"/>
          <w:lang w:val="en-GB" w:eastAsia="en-GB"/>
        </w:rPr>
        <w:t xml:space="preserve">anking services </w:t>
      </w:r>
      <w:r w:rsidR="00C66B98" w:rsidRPr="00473C61">
        <w:rPr>
          <w:rFonts w:ascii="Times New Roman" w:hAnsi="Times New Roman"/>
          <w:sz w:val="24"/>
          <w:szCs w:val="24"/>
          <w:lang w:val="en-GB" w:eastAsia="en-GB"/>
        </w:rPr>
        <w:t xml:space="preserve">(Kempson and Whyley, 1999; </w:t>
      </w:r>
      <w:r w:rsidR="0041323E" w:rsidRPr="00473C61">
        <w:rPr>
          <w:rFonts w:ascii="Times New Roman" w:hAnsi="Times New Roman"/>
          <w:sz w:val="24"/>
          <w:szCs w:val="24"/>
          <w:lang w:val="en-GB" w:eastAsia="en-GB"/>
        </w:rPr>
        <w:t>Devlin</w:t>
      </w:r>
      <w:r w:rsidR="00C66B98" w:rsidRPr="00473C61">
        <w:rPr>
          <w:rFonts w:ascii="Times New Roman" w:hAnsi="Times New Roman"/>
          <w:sz w:val="24"/>
          <w:szCs w:val="24"/>
          <w:lang w:val="en-GB" w:eastAsia="en-GB"/>
        </w:rPr>
        <w:t xml:space="preserve">, </w:t>
      </w:r>
      <w:r w:rsidR="0041323E" w:rsidRPr="00473C61">
        <w:rPr>
          <w:rFonts w:ascii="Times New Roman" w:hAnsi="Times New Roman"/>
          <w:sz w:val="24"/>
          <w:szCs w:val="24"/>
          <w:lang w:val="en-GB" w:eastAsia="en-GB"/>
        </w:rPr>
        <w:t>2005</w:t>
      </w:r>
      <w:r w:rsidR="00B80798" w:rsidRPr="00473C61">
        <w:rPr>
          <w:rFonts w:ascii="Times New Roman" w:hAnsi="Times New Roman"/>
          <w:sz w:val="24"/>
          <w:szCs w:val="24"/>
          <w:lang w:val="en-GB" w:eastAsia="en-GB"/>
        </w:rPr>
        <w:t>; FITF, 2009</w:t>
      </w:r>
      <w:r w:rsidR="0041323E" w:rsidRPr="00473C61">
        <w:rPr>
          <w:rFonts w:ascii="Times New Roman" w:hAnsi="Times New Roman"/>
          <w:sz w:val="24"/>
          <w:szCs w:val="24"/>
          <w:lang w:val="en-GB" w:eastAsia="en-GB"/>
        </w:rPr>
        <w:t>)</w:t>
      </w:r>
      <w:r w:rsidR="00C66B98" w:rsidRPr="00473C61">
        <w:rPr>
          <w:rFonts w:ascii="Times New Roman" w:hAnsi="Times New Roman"/>
          <w:sz w:val="24"/>
          <w:szCs w:val="24"/>
          <w:lang w:val="en-GB" w:eastAsia="en-GB"/>
        </w:rPr>
        <w:t xml:space="preserve">. </w:t>
      </w:r>
      <w:r w:rsidR="00E6387C" w:rsidRPr="00473C61">
        <w:rPr>
          <w:rFonts w:ascii="Times New Roman" w:hAnsi="Times New Roman"/>
          <w:sz w:val="24"/>
          <w:szCs w:val="24"/>
          <w:lang w:val="en-GB" w:eastAsia="en-GB"/>
        </w:rPr>
        <w:t xml:space="preserve">Households without basic bank accounts </w:t>
      </w:r>
      <w:r w:rsidR="009358AE" w:rsidRPr="00473C61">
        <w:rPr>
          <w:rFonts w:ascii="Times New Roman" w:hAnsi="Times New Roman"/>
          <w:sz w:val="24"/>
          <w:szCs w:val="24"/>
          <w:lang w:val="en-GB" w:eastAsia="en-GB"/>
        </w:rPr>
        <w:t xml:space="preserve">included </w:t>
      </w:r>
      <w:r w:rsidR="00E517F1" w:rsidRPr="00473C61">
        <w:rPr>
          <w:rFonts w:ascii="Times New Roman" w:hAnsi="Times New Roman"/>
          <w:sz w:val="24"/>
          <w:szCs w:val="24"/>
          <w:lang w:val="en-GB" w:eastAsia="en-GB"/>
        </w:rPr>
        <w:t xml:space="preserve">a </w:t>
      </w:r>
      <w:r w:rsidR="009358AE" w:rsidRPr="00473C61">
        <w:rPr>
          <w:rFonts w:ascii="Times New Roman" w:hAnsi="Times New Roman"/>
          <w:sz w:val="24"/>
          <w:szCs w:val="24"/>
          <w:lang w:val="en-GB" w:eastAsia="en-GB"/>
        </w:rPr>
        <w:t xml:space="preserve">disproportionate number of ethnic minority households and </w:t>
      </w:r>
      <w:r w:rsidR="008471C9" w:rsidRPr="00473C61">
        <w:rPr>
          <w:rFonts w:ascii="Times New Roman" w:hAnsi="Times New Roman"/>
          <w:sz w:val="24"/>
          <w:szCs w:val="24"/>
          <w:lang w:val="en-GB" w:eastAsia="en-GB"/>
        </w:rPr>
        <w:t xml:space="preserve">exclusion </w:t>
      </w:r>
      <w:r w:rsidR="008E2B98" w:rsidRPr="00473C61">
        <w:rPr>
          <w:rFonts w:ascii="Times New Roman" w:hAnsi="Times New Roman"/>
          <w:sz w:val="24"/>
          <w:szCs w:val="24"/>
          <w:lang w:val="en-GB" w:eastAsia="en-GB"/>
        </w:rPr>
        <w:t>is</w:t>
      </w:r>
      <w:r w:rsidR="0041323E" w:rsidRPr="00473C61">
        <w:rPr>
          <w:rFonts w:ascii="Times New Roman" w:hAnsi="Times New Roman"/>
          <w:sz w:val="24"/>
          <w:szCs w:val="24"/>
          <w:lang w:val="en-GB" w:eastAsia="en-GB"/>
        </w:rPr>
        <w:t xml:space="preserve"> highest among Black, Pakistani </w:t>
      </w:r>
      <w:r w:rsidR="003733BE" w:rsidRPr="00473C61">
        <w:rPr>
          <w:rFonts w:ascii="Times New Roman" w:hAnsi="Times New Roman"/>
          <w:sz w:val="24"/>
          <w:szCs w:val="24"/>
          <w:lang w:val="en-GB" w:eastAsia="en-GB"/>
        </w:rPr>
        <w:t>and</w:t>
      </w:r>
      <w:r w:rsidR="0041323E" w:rsidRPr="00473C61">
        <w:rPr>
          <w:rFonts w:ascii="Times New Roman" w:hAnsi="Times New Roman"/>
          <w:sz w:val="24"/>
          <w:szCs w:val="24"/>
          <w:lang w:val="en-GB" w:eastAsia="en-GB"/>
        </w:rPr>
        <w:t xml:space="preserve"> Bangladeshi households</w:t>
      </w:r>
      <w:r w:rsidR="00587AF6" w:rsidRPr="00473C61">
        <w:rPr>
          <w:rFonts w:ascii="Times New Roman" w:hAnsi="Times New Roman"/>
          <w:sz w:val="24"/>
          <w:szCs w:val="24"/>
          <w:lang w:val="en-GB" w:eastAsia="en-GB"/>
        </w:rPr>
        <w:t xml:space="preserve"> (Kempson and Whyley, 1999; Kahn, 2008</w:t>
      </w:r>
      <w:r w:rsidR="002D42C7" w:rsidRPr="00473C61">
        <w:rPr>
          <w:rFonts w:ascii="Times New Roman" w:hAnsi="Times New Roman"/>
          <w:sz w:val="24"/>
          <w:szCs w:val="24"/>
          <w:lang w:val="en-GB" w:eastAsia="en-GB"/>
        </w:rPr>
        <w:t>; Finney and Kempson, 2009</w:t>
      </w:r>
      <w:r w:rsidR="00587AF6" w:rsidRPr="00473C61">
        <w:rPr>
          <w:rFonts w:ascii="Times New Roman" w:hAnsi="Times New Roman"/>
          <w:sz w:val="24"/>
          <w:szCs w:val="24"/>
          <w:lang w:val="en-GB" w:eastAsia="en-GB"/>
        </w:rPr>
        <w:t>).</w:t>
      </w:r>
      <w:r w:rsidR="0041323E" w:rsidRPr="00473C61">
        <w:rPr>
          <w:rFonts w:ascii="Times New Roman" w:hAnsi="Times New Roman"/>
          <w:sz w:val="24"/>
          <w:szCs w:val="24"/>
          <w:lang w:val="en-GB" w:eastAsia="en-GB"/>
        </w:rPr>
        <w:t xml:space="preserve"> </w:t>
      </w:r>
      <w:r w:rsidR="00EB0A01" w:rsidRPr="00473C61">
        <w:rPr>
          <w:rFonts w:ascii="Times New Roman" w:hAnsi="Times New Roman"/>
          <w:sz w:val="24"/>
          <w:szCs w:val="24"/>
          <w:lang w:val="en-GB" w:eastAsia="en-GB"/>
        </w:rPr>
        <w:t xml:space="preserve"> </w:t>
      </w:r>
      <w:r w:rsidR="0041323E" w:rsidRPr="00473C61">
        <w:rPr>
          <w:rFonts w:ascii="Times New Roman" w:hAnsi="Times New Roman"/>
          <w:sz w:val="24"/>
          <w:szCs w:val="24"/>
          <w:lang w:val="en-GB" w:eastAsia="en-GB"/>
        </w:rPr>
        <w:t xml:space="preserve">Kempson and Whyley (1999) </w:t>
      </w:r>
      <w:r w:rsidR="00EB0A01" w:rsidRPr="00473C61">
        <w:rPr>
          <w:rFonts w:ascii="Times New Roman" w:hAnsi="Times New Roman"/>
          <w:sz w:val="24"/>
          <w:szCs w:val="24"/>
          <w:lang w:val="en-GB" w:eastAsia="en-GB"/>
        </w:rPr>
        <w:t>argue</w:t>
      </w:r>
      <w:r w:rsidR="0041323E" w:rsidRPr="00473C61">
        <w:rPr>
          <w:rFonts w:ascii="Times New Roman" w:hAnsi="Times New Roman"/>
          <w:sz w:val="24"/>
          <w:szCs w:val="24"/>
          <w:lang w:val="en-GB" w:eastAsia="en-GB"/>
        </w:rPr>
        <w:t xml:space="preserve"> that Black households </w:t>
      </w:r>
      <w:r w:rsidR="008E2B98" w:rsidRPr="00473C61">
        <w:rPr>
          <w:rFonts w:ascii="Times New Roman" w:hAnsi="Times New Roman"/>
          <w:sz w:val="24"/>
          <w:szCs w:val="24"/>
          <w:lang w:val="en-GB" w:eastAsia="en-GB"/>
        </w:rPr>
        <w:t>are</w:t>
      </w:r>
      <w:r w:rsidR="0041323E" w:rsidRPr="00473C61">
        <w:rPr>
          <w:rFonts w:ascii="Times New Roman" w:hAnsi="Times New Roman"/>
          <w:sz w:val="24"/>
          <w:szCs w:val="24"/>
          <w:lang w:val="en-GB" w:eastAsia="en-GB"/>
        </w:rPr>
        <w:t xml:space="preserve"> more likely to be excluded due to their positioning in the labour market</w:t>
      </w:r>
      <w:r w:rsidR="00EB0A01" w:rsidRPr="00473C61">
        <w:rPr>
          <w:rFonts w:ascii="Times New Roman" w:hAnsi="Times New Roman"/>
          <w:sz w:val="24"/>
          <w:szCs w:val="24"/>
          <w:lang w:val="en-GB" w:eastAsia="en-GB"/>
        </w:rPr>
        <w:t xml:space="preserve"> and income levels. </w:t>
      </w:r>
      <w:r w:rsidR="008E2B98" w:rsidRPr="00473C61">
        <w:rPr>
          <w:rFonts w:ascii="Times New Roman" w:hAnsi="Times New Roman"/>
          <w:sz w:val="24"/>
          <w:szCs w:val="24"/>
          <w:lang w:val="en-GB" w:eastAsia="en-GB"/>
        </w:rPr>
        <w:t xml:space="preserve">Restricted access to financial services </w:t>
      </w:r>
      <w:r w:rsidR="0041323E" w:rsidRPr="00473C61">
        <w:rPr>
          <w:rFonts w:ascii="Times New Roman" w:hAnsi="Times New Roman"/>
          <w:sz w:val="24"/>
          <w:szCs w:val="24"/>
          <w:lang w:val="en-GB" w:eastAsia="en-GB"/>
        </w:rPr>
        <w:t>among Bangladeshi and Pakistani households is</w:t>
      </w:r>
      <w:r w:rsidR="00376B67" w:rsidRPr="00473C61">
        <w:rPr>
          <w:rFonts w:ascii="Times New Roman" w:hAnsi="Times New Roman"/>
          <w:sz w:val="24"/>
          <w:szCs w:val="24"/>
          <w:lang w:val="en-GB" w:eastAsia="en-GB"/>
        </w:rPr>
        <w:t xml:space="preserve"> further influenced by language and culture </w:t>
      </w:r>
      <w:r w:rsidR="0041323E" w:rsidRPr="00473C61">
        <w:rPr>
          <w:rFonts w:ascii="Times New Roman" w:hAnsi="Times New Roman"/>
          <w:sz w:val="24"/>
          <w:szCs w:val="24"/>
          <w:lang w:val="en-GB" w:eastAsia="en-GB"/>
        </w:rPr>
        <w:t xml:space="preserve">(FSA, 2000). </w:t>
      </w:r>
      <w:r w:rsidR="00786748" w:rsidRPr="00473C61">
        <w:rPr>
          <w:rFonts w:ascii="Times New Roman" w:hAnsi="Times New Roman"/>
          <w:sz w:val="24"/>
          <w:szCs w:val="24"/>
          <w:lang w:val="en-GB" w:eastAsia="en-GB"/>
        </w:rPr>
        <w:t xml:space="preserve"> </w:t>
      </w:r>
      <w:r w:rsidR="00376B67" w:rsidRPr="00473C61">
        <w:rPr>
          <w:rFonts w:ascii="Times New Roman" w:hAnsi="Times New Roman"/>
          <w:sz w:val="24"/>
          <w:szCs w:val="24"/>
          <w:lang w:val="en-GB" w:eastAsia="en-GB"/>
        </w:rPr>
        <w:t xml:space="preserve">For example </w:t>
      </w:r>
      <w:r w:rsidR="00786748" w:rsidRPr="00473C61">
        <w:rPr>
          <w:rFonts w:ascii="Times New Roman" w:hAnsi="Times New Roman"/>
          <w:sz w:val="24"/>
          <w:szCs w:val="24"/>
          <w:lang w:val="en-GB" w:eastAsia="en-GB"/>
        </w:rPr>
        <w:t xml:space="preserve">Devlin (2005) </w:t>
      </w:r>
      <w:r w:rsidR="008E2B98" w:rsidRPr="00473C61">
        <w:rPr>
          <w:rFonts w:ascii="Times New Roman" w:hAnsi="Times New Roman"/>
          <w:sz w:val="24"/>
          <w:szCs w:val="24"/>
          <w:lang w:val="en-GB" w:eastAsia="en-GB"/>
        </w:rPr>
        <w:t xml:space="preserve">finds </w:t>
      </w:r>
      <w:r w:rsidR="00786748" w:rsidRPr="00473C61">
        <w:rPr>
          <w:rFonts w:ascii="Times New Roman" w:hAnsi="Times New Roman"/>
          <w:sz w:val="24"/>
          <w:szCs w:val="24"/>
          <w:lang w:val="en-GB" w:eastAsia="en-GB"/>
        </w:rPr>
        <w:t xml:space="preserve">that lower social classes, of which ethnic </w:t>
      </w:r>
      <w:r w:rsidR="00786748" w:rsidRPr="00473C61">
        <w:rPr>
          <w:rFonts w:ascii="Times New Roman" w:hAnsi="Times New Roman"/>
          <w:sz w:val="24"/>
          <w:szCs w:val="24"/>
          <w:lang w:val="en-GB" w:eastAsia="en-GB"/>
        </w:rPr>
        <w:lastRenderedPageBreak/>
        <w:t xml:space="preserve">minorities are over-represented, face greater exclusion from access to current and savings accounts. </w:t>
      </w:r>
    </w:p>
    <w:p w:rsidR="00EB71E2" w:rsidRPr="00473C61" w:rsidRDefault="00746A53" w:rsidP="001D6D37">
      <w:pPr>
        <w:autoSpaceDE w:val="0"/>
        <w:autoSpaceDN w:val="0"/>
        <w:adjustRightInd w:val="0"/>
        <w:spacing w:after="0" w:line="480" w:lineRule="auto"/>
        <w:jc w:val="both"/>
        <w:rPr>
          <w:rFonts w:ascii="Times New Roman" w:eastAsiaTheme="minorEastAsia" w:hAnsi="Times New Roman"/>
          <w:sz w:val="24"/>
          <w:szCs w:val="24"/>
          <w:lang w:val="en-GB" w:eastAsia="en-GB"/>
        </w:rPr>
      </w:pPr>
      <w:r w:rsidRPr="00473C61">
        <w:rPr>
          <w:rFonts w:ascii="Times New Roman" w:hAnsi="Times New Roman"/>
          <w:sz w:val="24"/>
          <w:szCs w:val="24"/>
          <w:lang w:val="en-GB" w:eastAsia="en-GB"/>
        </w:rPr>
        <w:t>E</w:t>
      </w:r>
      <w:r w:rsidR="00EB71E2" w:rsidRPr="00473C61">
        <w:rPr>
          <w:rFonts w:ascii="Times New Roman" w:eastAsiaTheme="minorEastAsia" w:hAnsi="Times New Roman"/>
          <w:sz w:val="24"/>
          <w:szCs w:val="24"/>
          <w:lang w:val="en-GB" w:eastAsia="en-GB"/>
        </w:rPr>
        <w:t xml:space="preserve">mpirical </w:t>
      </w:r>
      <w:r w:rsidRPr="00473C61">
        <w:rPr>
          <w:rFonts w:ascii="Times New Roman" w:eastAsiaTheme="minorEastAsia" w:hAnsi="Times New Roman"/>
          <w:sz w:val="24"/>
          <w:szCs w:val="24"/>
          <w:lang w:val="en-GB" w:eastAsia="en-GB"/>
        </w:rPr>
        <w:t xml:space="preserve">analysis of discrimination </w:t>
      </w:r>
      <w:r w:rsidR="008C7444" w:rsidRPr="00473C61">
        <w:rPr>
          <w:rFonts w:ascii="Times New Roman" w:eastAsiaTheme="minorEastAsia" w:hAnsi="Times New Roman"/>
          <w:sz w:val="24"/>
          <w:szCs w:val="24"/>
          <w:lang w:val="en-GB" w:eastAsia="en-GB"/>
        </w:rPr>
        <w:t xml:space="preserve">in financial services </w:t>
      </w:r>
      <w:r w:rsidRPr="00473C61">
        <w:rPr>
          <w:rFonts w:ascii="Times New Roman" w:eastAsiaTheme="minorEastAsia" w:hAnsi="Times New Roman"/>
          <w:sz w:val="24"/>
          <w:szCs w:val="24"/>
          <w:lang w:val="en-GB" w:eastAsia="en-GB"/>
        </w:rPr>
        <w:t xml:space="preserve">is typically more rigorous </w:t>
      </w:r>
      <w:r w:rsidR="008C7444" w:rsidRPr="00473C61">
        <w:rPr>
          <w:rFonts w:ascii="Times New Roman" w:eastAsiaTheme="minorEastAsia" w:hAnsi="Times New Roman"/>
          <w:sz w:val="24"/>
          <w:szCs w:val="24"/>
          <w:lang w:val="en-GB" w:eastAsia="en-GB"/>
        </w:rPr>
        <w:t xml:space="preserve">than the work on financial exclusion </w:t>
      </w:r>
      <w:r w:rsidRPr="00473C61">
        <w:rPr>
          <w:rFonts w:ascii="Times New Roman" w:eastAsiaTheme="minorEastAsia" w:hAnsi="Times New Roman"/>
          <w:sz w:val="24"/>
          <w:szCs w:val="24"/>
          <w:lang w:val="en-GB" w:eastAsia="en-GB"/>
        </w:rPr>
        <w:t xml:space="preserve">and </w:t>
      </w:r>
      <w:r w:rsidR="008C7444" w:rsidRPr="00473C61">
        <w:rPr>
          <w:rFonts w:ascii="Times New Roman" w:eastAsiaTheme="minorEastAsia" w:hAnsi="Times New Roman"/>
          <w:sz w:val="24"/>
          <w:szCs w:val="24"/>
          <w:lang w:val="en-GB" w:eastAsia="en-GB"/>
        </w:rPr>
        <w:t xml:space="preserve">it </w:t>
      </w:r>
      <w:r w:rsidRPr="00473C61">
        <w:rPr>
          <w:rFonts w:ascii="Times New Roman" w:eastAsiaTheme="minorEastAsia" w:hAnsi="Times New Roman"/>
          <w:sz w:val="24"/>
          <w:szCs w:val="24"/>
          <w:lang w:val="en-GB" w:eastAsia="en-GB"/>
        </w:rPr>
        <w:t xml:space="preserve">focuses on two dimensions. </w:t>
      </w:r>
      <w:r w:rsidR="00EB71E2" w:rsidRPr="00473C61">
        <w:rPr>
          <w:rFonts w:ascii="Times New Roman" w:eastAsiaTheme="minorEastAsia" w:hAnsi="Times New Roman"/>
          <w:sz w:val="24"/>
          <w:szCs w:val="24"/>
          <w:lang w:val="en-GB" w:eastAsia="en-GB"/>
        </w:rPr>
        <w:t xml:space="preserve"> </w:t>
      </w:r>
      <w:r w:rsidR="00C910C9" w:rsidRPr="00473C61">
        <w:rPr>
          <w:rFonts w:ascii="Times New Roman" w:eastAsiaTheme="minorEastAsia" w:hAnsi="Times New Roman"/>
          <w:sz w:val="24"/>
          <w:szCs w:val="24"/>
          <w:lang w:val="en-GB" w:eastAsia="en-GB"/>
        </w:rPr>
        <w:t>T</w:t>
      </w:r>
      <w:r w:rsidR="00EB71E2" w:rsidRPr="00473C61">
        <w:rPr>
          <w:rFonts w:ascii="Times New Roman" w:eastAsiaTheme="minorEastAsia" w:hAnsi="Times New Roman"/>
          <w:sz w:val="24"/>
          <w:szCs w:val="24"/>
          <w:lang w:val="en-GB" w:eastAsia="en-GB"/>
        </w:rPr>
        <w:t>he first, known as individual discrimination, relates to the refusal to lend to individuals due to various non-economic characteristics. The second, called ‘redlining’, concerns the refusal to lend to certain neighbourhoods, again, due to non-economic features.  Early empirical analysis of racial discrimination</w:t>
      </w:r>
      <w:r w:rsidR="004B4F8C" w:rsidRPr="00473C61">
        <w:rPr>
          <w:rFonts w:ascii="Times New Roman" w:eastAsiaTheme="minorEastAsia" w:hAnsi="Times New Roman"/>
          <w:sz w:val="24"/>
          <w:szCs w:val="24"/>
          <w:lang w:val="en-GB" w:eastAsia="en-GB"/>
        </w:rPr>
        <w:t xml:space="preserve"> predominantly focused </w:t>
      </w:r>
      <w:r w:rsidR="00EF1101" w:rsidRPr="00473C61">
        <w:rPr>
          <w:rFonts w:ascii="Times New Roman" w:eastAsiaTheme="minorEastAsia" w:hAnsi="Times New Roman"/>
          <w:sz w:val="24"/>
          <w:szCs w:val="24"/>
          <w:lang w:val="en-GB" w:eastAsia="en-GB"/>
        </w:rPr>
        <w:t>on the</w:t>
      </w:r>
      <w:r w:rsidR="00EB71E2" w:rsidRPr="00473C61">
        <w:rPr>
          <w:rFonts w:ascii="Times New Roman" w:eastAsiaTheme="minorEastAsia" w:hAnsi="Times New Roman"/>
          <w:sz w:val="24"/>
          <w:szCs w:val="24"/>
          <w:lang w:val="en-GB" w:eastAsia="en-GB"/>
        </w:rPr>
        <w:t xml:space="preserve"> mortgage </w:t>
      </w:r>
      <w:r w:rsidR="004B4F8C" w:rsidRPr="00473C61">
        <w:rPr>
          <w:rFonts w:ascii="Times New Roman" w:eastAsiaTheme="minorEastAsia" w:hAnsi="Times New Roman"/>
          <w:sz w:val="24"/>
          <w:szCs w:val="24"/>
          <w:lang w:val="en-GB" w:eastAsia="en-GB"/>
        </w:rPr>
        <w:t>market</w:t>
      </w:r>
      <w:r w:rsidR="00EF1101" w:rsidRPr="00473C61">
        <w:rPr>
          <w:rFonts w:ascii="Times New Roman" w:eastAsiaTheme="minorEastAsia" w:hAnsi="Times New Roman"/>
          <w:sz w:val="24"/>
          <w:szCs w:val="24"/>
          <w:lang w:val="en-GB" w:eastAsia="en-GB"/>
        </w:rPr>
        <w:t>, prompted</w:t>
      </w:r>
      <w:r w:rsidR="00EB71E2" w:rsidRPr="00473C61">
        <w:rPr>
          <w:rFonts w:ascii="Times New Roman" w:eastAsiaTheme="minorEastAsia" w:hAnsi="Times New Roman"/>
          <w:sz w:val="24"/>
          <w:szCs w:val="24"/>
          <w:lang w:val="en-GB" w:eastAsia="en-GB"/>
        </w:rPr>
        <w:t xml:space="preserve"> by analysis of data compiled by the Federal Reserve Bank of Boston under the requirements of the Home Mortgage Disclosure A</w:t>
      </w:r>
      <w:r w:rsidR="008E350D" w:rsidRPr="00473C61">
        <w:rPr>
          <w:rFonts w:ascii="Times New Roman" w:eastAsiaTheme="minorEastAsia" w:hAnsi="Times New Roman"/>
          <w:sz w:val="24"/>
          <w:szCs w:val="24"/>
          <w:lang w:val="en-GB" w:eastAsia="en-GB"/>
        </w:rPr>
        <w:t xml:space="preserve">ct (HMDA) </w:t>
      </w:r>
      <w:r w:rsidR="00EB71E2" w:rsidRPr="00473C61">
        <w:rPr>
          <w:rFonts w:ascii="Times New Roman" w:eastAsiaTheme="minorEastAsia" w:hAnsi="Times New Roman"/>
          <w:sz w:val="24"/>
          <w:szCs w:val="24"/>
          <w:lang w:val="en-GB" w:eastAsia="en-GB"/>
        </w:rPr>
        <w:t xml:space="preserve">1975 that sought to monitor minority access to mortgage </w:t>
      </w:r>
      <w:r w:rsidR="008471C9" w:rsidRPr="00473C61">
        <w:rPr>
          <w:rFonts w:ascii="Times New Roman" w:eastAsiaTheme="minorEastAsia" w:hAnsi="Times New Roman"/>
          <w:sz w:val="24"/>
          <w:szCs w:val="24"/>
          <w:lang w:val="en-GB" w:eastAsia="en-GB"/>
        </w:rPr>
        <w:t>finance</w:t>
      </w:r>
      <w:r w:rsidR="00EB71E2" w:rsidRPr="00473C61">
        <w:rPr>
          <w:rFonts w:ascii="Times New Roman" w:eastAsiaTheme="minorEastAsia" w:hAnsi="Times New Roman"/>
          <w:sz w:val="24"/>
          <w:szCs w:val="24"/>
          <w:lang w:val="en-GB" w:eastAsia="en-GB"/>
        </w:rPr>
        <w:t xml:space="preserve"> (Munnell </w:t>
      </w:r>
      <w:r w:rsidR="00002409" w:rsidRPr="00473C61">
        <w:rPr>
          <w:rFonts w:ascii="Times New Roman" w:eastAsiaTheme="minorEastAsia" w:hAnsi="Times New Roman"/>
          <w:sz w:val="24"/>
          <w:szCs w:val="24"/>
          <w:lang w:val="en-GB" w:eastAsia="en-GB"/>
        </w:rPr>
        <w:t>et al.</w:t>
      </w:r>
      <w:r w:rsidR="00EB71E2" w:rsidRPr="00473C61">
        <w:rPr>
          <w:rFonts w:ascii="Times New Roman" w:eastAsiaTheme="minorEastAsia" w:hAnsi="Times New Roman"/>
          <w:sz w:val="24"/>
          <w:szCs w:val="24"/>
          <w:lang w:val="en-GB" w:eastAsia="en-GB"/>
        </w:rPr>
        <w:t xml:space="preserve">, 1992, 1996). Typically, blacks and Hispanics have higher mortgage application rejection rates and are offered less attractive terms than whites with similar credit and other features (Black </w:t>
      </w:r>
      <w:r w:rsidR="00002409" w:rsidRPr="00473C61">
        <w:rPr>
          <w:rFonts w:ascii="Times New Roman" w:eastAsiaTheme="minorEastAsia" w:hAnsi="Times New Roman"/>
          <w:sz w:val="24"/>
          <w:szCs w:val="24"/>
          <w:lang w:val="en-GB" w:eastAsia="en-GB"/>
        </w:rPr>
        <w:t>et al.,</w:t>
      </w:r>
      <w:r w:rsidR="00EB71E2" w:rsidRPr="00473C61">
        <w:rPr>
          <w:rFonts w:ascii="Times New Roman" w:eastAsiaTheme="minorEastAsia" w:hAnsi="Times New Roman"/>
          <w:sz w:val="24"/>
          <w:szCs w:val="24"/>
          <w:lang w:val="en-GB" w:eastAsia="en-GB"/>
        </w:rPr>
        <w:t xml:space="preserve"> 1978; Munnell </w:t>
      </w:r>
      <w:r w:rsidR="00002409" w:rsidRPr="00473C61">
        <w:rPr>
          <w:rFonts w:ascii="Times New Roman" w:eastAsiaTheme="minorEastAsia" w:hAnsi="Times New Roman"/>
          <w:sz w:val="24"/>
          <w:szCs w:val="24"/>
          <w:lang w:val="en-GB" w:eastAsia="en-GB"/>
        </w:rPr>
        <w:t>et al.</w:t>
      </w:r>
      <w:r w:rsidR="008E350D" w:rsidRPr="00473C61">
        <w:rPr>
          <w:rFonts w:ascii="Times New Roman" w:eastAsiaTheme="minorEastAsia" w:hAnsi="Times New Roman"/>
          <w:sz w:val="24"/>
          <w:szCs w:val="24"/>
          <w:lang w:val="en-GB" w:eastAsia="en-GB"/>
        </w:rPr>
        <w:t>,</w:t>
      </w:r>
      <w:r w:rsidR="00EB71E2" w:rsidRPr="00473C61">
        <w:rPr>
          <w:rFonts w:ascii="Times New Roman" w:eastAsiaTheme="minorEastAsia" w:hAnsi="Times New Roman"/>
          <w:sz w:val="24"/>
          <w:szCs w:val="24"/>
          <w:lang w:val="en-GB" w:eastAsia="en-GB"/>
        </w:rPr>
        <w:t xml:space="preserve"> 1996; Ross and Yinger 1999, 2002). Other evidence points to blacks paying more for their mortgages, around 0.5</w:t>
      </w:r>
      <w:r w:rsidR="00646B62" w:rsidRPr="00473C61">
        <w:rPr>
          <w:rFonts w:ascii="Times New Roman" w:eastAsiaTheme="minorEastAsia" w:hAnsi="Times New Roman"/>
          <w:sz w:val="24"/>
          <w:szCs w:val="24"/>
          <w:lang w:val="en-GB" w:eastAsia="en-GB"/>
        </w:rPr>
        <w:t xml:space="preserve"> percent</w:t>
      </w:r>
      <w:r w:rsidR="00EB71E2" w:rsidRPr="00473C61">
        <w:rPr>
          <w:rFonts w:ascii="Times New Roman" w:eastAsiaTheme="minorEastAsia" w:hAnsi="Times New Roman"/>
          <w:sz w:val="24"/>
          <w:szCs w:val="24"/>
          <w:lang w:val="en-GB" w:eastAsia="en-GB"/>
        </w:rPr>
        <w:t xml:space="preserve">, even when factors such as income levels, property dates and the age of buyer are controlled for (Oliver and Shapiro, 1997).  Smaller, yet adverse, pricing differentials for minority mortgages are found in </w:t>
      </w:r>
      <w:r w:rsidR="00673124" w:rsidRPr="00473C61">
        <w:rPr>
          <w:rFonts w:ascii="Times New Roman" w:eastAsiaTheme="minorEastAsia" w:hAnsi="Times New Roman"/>
          <w:sz w:val="24"/>
          <w:szCs w:val="24"/>
          <w:lang w:val="en-GB" w:eastAsia="en-GB"/>
        </w:rPr>
        <w:t xml:space="preserve">Black et al. (2003), </w:t>
      </w:r>
      <w:r w:rsidR="00EB71E2" w:rsidRPr="00473C61">
        <w:rPr>
          <w:rFonts w:ascii="Times New Roman" w:eastAsiaTheme="minorEastAsia" w:hAnsi="Times New Roman"/>
          <w:sz w:val="24"/>
          <w:szCs w:val="24"/>
          <w:lang w:val="en-GB" w:eastAsia="en-GB"/>
        </w:rPr>
        <w:t xml:space="preserve">Courchane and Nickerson (1997) and Crawford and Rosenblatt (1999), although these higher rates may be counteracted with more favourable terms (longer low rate lock-ins) elsewhere (Crawford and Rosenblatt 1999). Mortgage default rates may also be higher (Berkovec </w:t>
      </w:r>
      <w:r w:rsidR="00002409" w:rsidRPr="00473C61">
        <w:rPr>
          <w:rFonts w:ascii="Times New Roman" w:eastAsiaTheme="minorEastAsia" w:hAnsi="Times New Roman"/>
          <w:sz w:val="24"/>
          <w:szCs w:val="24"/>
          <w:lang w:val="en-GB" w:eastAsia="en-GB"/>
        </w:rPr>
        <w:t>et al.</w:t>
      </w:r>
      <w:r w:rsidR="00EB71E2" w:rsidRPr="00473C61">
        <w:rPr>
          <w:rFonts w:ascii="Times New Roman" w:eastAsiaTheme="minorEastAsia" w:hAnsi="Times New Roman"/>
          <w:sz w:val="24"/>
          <w:szCs w:val="24"/>
          <w:lang w:val="en-GB" w:eastAsia="en-GB"/>
        </w:rPr>
        <w:t xml:space="preserve">, 1996) or no different (Berkovec </w:t>
      </w:r>
      <w:r w:rsidR="00002409" w:rsidRPr="00473C61">
        <w:rPr>
          <w:rFonts w:ascii="Times New Roman" w:eastAsiaTheme="minorEastAsia" w:hAnsi="Times New Roman"/>
          <w:sz w:val="24"/>
          <w:szCs w:val="24"/>
          <w:lang w:val="en-GB" w:eastAsia="en-GB"/>
        </w:rPr>
        <w:t>et al.</w:t>
      </w:r>
      <w:r w:rsidR="00EB71E2" w:rsidRPr="00473C61">
        <w:rPr>
          <w:rFonts w:ascii="Times New Roman" w:eastAsiaTheme="minorEastAsia" w:hAnsi="Times New Roman"/>
          <w:sz w:val="24"/>
          <w:szCs w:val="24"/>
          <w:lang w:val="en-GB" w:eastAsia="en-GB"/>
        </w:rPr>
        <w:t>, 1998)</w:t>
      </w:r>
      <w:r w:rsidR="00EB71E2" w:rsidRPr="00473C61">
        <w:rPr>
          <w:rFonts w:ascii="Times New Roman" w:eastAsiaTheme="minorEastAsia" w:hAnsi="Times New Roman"/>
          <w:sz w:val="24"/>
          <w:szCs w:val="24"/>
          <w:vertAlign w:val="superscript"/>
          <w:lang w:val="en-GB" w:eastAsia="en-GB"/>
        </w:rPr>
        <w:footnoteReference w:id="3"/>
      </w:r>
      <w:r w:rsidR="00EB71E2" w:rsidRPr="00473C61">
        <w:rPr>
          <w:rFonts w:ascii="Times New Roman" w:eastAsiaTheme="minorEastAsia" w:hAnsi="Times New Roman"/>
          <w:sz w:val="24"/>
          <w:szCs w:val="24"/>
          <w:lang w:val="en-GB" w:eastAsia="en-GB"/>
        </w:rPr>
        <w:t>. Han (2011) develops a model of creditor learning and</w:t>
      </w:r>
      <w:r w:rsidR="00A1380F" w:rsidRPr="00473C61">
        <w:rPr>
          <w:rFonts w:ascii="Times New Roman" w:eastAsiaTheme="minorEastAsia" w:hAnsi="Times New Roman"/>
          <w:sz w:val="24"/>
          <w:szCs w:val="24"/>
          <w:lang w:val="en-GB" w:eastAsia="en-GB"/>
        </w:rPr>
        <w:t>,</w:t>
      </w:r>
      <w:r w:rsidR="00EB71E2" w:rsidRPr="00473C61">
        <w:rPr>
          <w:rFonts w:ascii="Times New Roman" w:eastAsiaTheme="minorEastAsia" w:hAnsi="Times New Roman"/>
          <w:sz w:val="24"/>
          <w:szCs w:val="24"/>
          <w:lang w:val="en-GB" w:eastAsia="en-GB"/>
        </w:rPr>
        <w:t xml:space="preserve"> </w:t>
      </w:r>
      <w:r w:rsidR="00A1380F" w:rsidRPr="00473C61">
        <w:rPr>
          <w:rFonts w:ascii="Times New Roman" w:eastAsiaTheme="minorEastAsia" w:hAnsi="Times New Roman"/>
          <w:sz w:val="24"/>
          <w:szCs w:val="24"/>
          <w:lang w:val="en-GB" w:eastAsia="en-GB"/>
        </w:rPr>
        <w:t xml:space="preserve">using </w:t>
      </w:r>
      <w:r w:rsidR="00EB71E2" w:rsidRPr="00473C61">
        <w:rPr>
          <w:rFonts w:ascii="Times New Roman" w:eastAsiaTheme="minorEastAsia" w:hAnsi="Times New Roman"/>
          <w:sz w:val="24"/>
          <w:szCs w:val="24"/>
          <w:lang w:val="en-GB" w:eastAsia="en-GB"/>
        </w:rPr>
        <w:t xml:space="preserve">the mortgage market data of Munnell </w:t>
      </w:r>
      <w:r w:rsidR="00002409" w:rsidRPr="00473C61">
        <w:rPr>
          <w:rFonts w:ascii="Times New Roman" w:eastAsiaTheme="minorEastAsia" w:hAnsi="Times New Roman"/>
          <w:sz w:val="24"/>
          <w:szCs w:val="24"/>
          <w:lang w:val="en-GB" w:eastAsia="en-GB"/>
        </w:rPr>
        <w:t>et al.</w:t>
      </w:r>
      <w:r w:rsidR="00EB71E2" w:rsidRPr="00473C61">
        <w:rPr>
          <w:rFonts w:ascii="Times New Roman" w:eastAsiaTheme="minorEastAsia" w:hAnsi="Times New Roman"/>
          <w:sz w:val="24"/>
          <w:szCs w:val="24"/>
          <w:lang w:val="en-GB" w:eastAsia="en-GB"/>
        </w:rPr>
        <w:t xml:space="preserve"> (1996)</w:t>
      </w:r>
      <w:r w:rsidR="00A1380F" w:rsidRPr="00473C61">
        <w:rPr>
          <w:rFonts w:ascii="Times New Roman" w:eastAsiaTheme="minorEastAsia" w:hAnsi="Times New Roman"/>
          <w:sz w:val="24"/>
          <w:szCs w:val="24"/>
          <w:lang w:val="en-GB" w:eastAsia="en-GB"/>
        </w:rPr>
        <w:t>,</w:t>
      </w:r>
      <w:r w:rsidR="00EB71E2" w:rsidRPr="00473C61">
        <w:rPr>
          <w:rFonts w:ascii="Times New Roman" w:eastAsiaTheme="minorEastAsia" w:hAnsi="Times New Roman"/>
          <w:sz w:val="24"/>
          <w:szCs w:val="24"/>
          <w:lang w:val="en-GB" w:eastAsia="en-GB"/>
        </w:rPr>
        <w:t xml:space="preserve"> finds that racial disparity in mortgage approval rates falls substantially for blacks the longer their credit history. </w:t>
      </w:r>
    </w:p>
    <w:p w:rsidR="00EB71E2" w:rsidRPr="00473C61" w:rsidRDefault="00EB71E2" w:rsidP="001D6D37">
      <w:pPr>
        <w:autoSpaceDE w:val="0"/>
        <w:autoSpaceDN w:val="0"/>
        <w:adjustRightInd w:val="0"/>
        <w:spacing w:after="0" w:line="480" w:lineRule="auto"/>
        <w:jc w:val="both"/>
        <w:rPr>
          <w:rFonts w:ascii="Times New Roman" w:eastAsiaTheme="minorEastAsia" w:hAnsi="Times New Roman"/>
          <w:sz w:val="24"/>
          <w:szCs w:val="24"/>
          <w:lang w:val="en-GB" w:eastAsia="en-GB"/>
        </w:rPr>
      </w:pPr>
    </w:p>
    <w:p w:rsidR="00233AB0" w:rsidRPr="00473C61" w:rsidRDefault="00EB71E2" w:rsidP="001D6D37">
      <w:pPr>
        <w:autoSpaceDE w:val="0"/>
        <w:autoSpaceDN w:val="0"/>
        <w:adjustRightInd w:val="0"/>
        <w:spacing w:after="0" w:line="480" w:lineRule="auto"/>
        <w:jc w:val="both"/>
        <w:rPr>
          <w:rFonts w:ascii="Times New Roman" w:eastAsiaTheme="minorEastAsia" w:hAnsi="Times New Roman"/>
          <w:sz w:val="24"/>
          <w:szCs w:val="24"/>
          <w:lang w:val="en-GB" w:eastAsia="en-GB"/>
        </w:rPr>
      </w:pPr>
      <w:r w:rsidRPr="00473C61">
        <w:rPr>
          <w:rFonts w:ascii="Times New Roman" w:eastAsiaTheme="minorEastAsia" w:hAnsi="Times New Roman"/>
          <w:sz w:val="24"/>
          <w:szCs w:val="24"/>
          <w:lang w:val="en-GB" w:eastAsia="en-GB"/>
        </w:rPr>
        <w:lastRenderedPageBreak/>
        <w:t>Features of U.S. residential segregation have been widely documented (Massey and Denton</w:t>
      </w:r>
      <w:r w:rsidR="00002409" w:rsidRPr="00473C61">
        <w:rPr>
          <w:rFonts w:ascii="Times New Roman" w:eastAsiaTheme="minorEastAsia" w:hAnsi="Times New Roman"/>
          <w:sz w:val="24"/>
          <w:szCs w:val="24"/>
          <w:lang w:val="en-GB" w:eastAsia="en-GB"/>
        </w:rPr>
        <w:t>,</w:t>
      </w:r>
      <w:r w:rsidRPr="00473C61">
        <w:rPr>
          <w:rFonts w:ascii="Times New Roman" w:eastAsiaTheme="minorEastAsia" w:hAnsi="Times New Roman"/>
          <w:sz w:val="24"/>
          <w:szCs w:val="24"/>
          <w:lang w:val="en-GB" w:eastAsia="en-GB"/>
        </w:rPr>
        <w:t xml:space="preserve"> 1993) and academic interest in racial redlining increased after the passing of the 1974 Equal Credit Opportunity Act (which outlawed redlining), and the Community Reinvestment Act of 1977 (which made it illegal for lenders to have a smaller amount of mortgage funds available in minority neighbourhoods compared to similar white neighbourhoods). Early work found little evidence of redlining (Schafer </w:t>
      </w:r>
      <w:r w:rsidR="00C313BB" w:rsidRPr="00473C61">
        <w:rPr>
          <w:rFonts w:ascii="Times New Roman" w:eastAsiaTheme="minorEastAsia" w:hAnsi="Times New Roman"/>
          <w:sz w:val="24"/>
          <w:szCs w:val="24"/>
          <w:lang w:val="en-GB" w:eastAsia="en-GB"/>
        </w:rPr>
        <w:t>and</w:t>
      </w:r>
      <w:r w:rsidRPr="00473C61">
        <w:rPr>
          <w:rFonts w:ascii="Times New Roman" w:eastAsiaTheme="minorEastAsia" w:hAnsi="Times New Roman"/>
          <w:sz w:val="24"/>
          <w:szCs w:val="24"/>
          <w:lang w:val="en-GB" w:eastAsia="en-GB"/>
        </w:rPr>
        <w:t xml:space="preserve"> Ladd</w:t>
      </w:r>
      <w:r w:rsidR="00002409" w:rsidRPr="00473C61">
        <w:rPr>
          <w:rFonts w:ascii="Times New Roman" w:eastAsiaTheme="minorEastAsia" w:hAnsi="Times New Roman"/>
          <w:sz w:val="24"/>
          <w:szCs w:val="24"/>
          <w:lang w:val="en-GB" w:eastAsia="en-GB"/>
        </w:rPr>
        <w:t>,</w:t>
      </w:r>
      <w:r w:rsidRPr="00473C61">
        <w:rPr>
          <w:rFonts w:ascii="Times New Roman" w:eastAsiaTheme="minorEastAsia" w:hAnsi="Times New Roman"/>
          <w:sz w:val="24"/>
          <w:szCs w:val="24"/>
          <w:lang w:val="en-GB" w:eastAsia="en-GB"/>
        </w:rPr>
        <w:t xml:space="preserve"> 1981</w:t>
      </w:r>
      <w:r w:rsidR="00C313BB" w:rsidRPr="00473C61">
        <w:rPr>
          <w:rFonts w:ascii="Times New Roman" w:eastAsiaTheme="minorEastAsia" w:hAnsi="Times New Roman"/>
          <w:sz w:val="24"/>
          <w:szCs w:val="24"/>
          <w:lang w:val="en-GB" w:eastAsia="en-GB"/>
        </w:rPr>
        <w:t>;</w:t>
      </w:r>
      <w:r w:rsidRPr="00473C61">
        <w:rPr>
          <w:rFonts w:ascii="Times New Roman" w:eastAsiaTheme="minorEastAsia" w:hAnsi="Times New Roman"/>
          <w:sz w:val="24"/>
          <w:szCs w:val="24"/>
          <w:lang w:val="en-GB" w:eastAsia="en-GB"/>
        </w:rPr>
        <w:t xml:space="preserve"> Benston and Horsky, 1992; Munnell </w:t>
      </w:r>
      <w:r w:rsidR="00002409" w:rsidRPr="00473C61">
        <w:rPr>
          <w:rFonts w:ascii="Times New Roman" w:eastAsiaTheme="minorEastAsia" w:hAnsi="Times New Roman"/>
          <w:sz w:val="24"/>
          <w:szCs w:val="24"/>
          <w:lang w:val="en-GB" w:eastAsia="en-GB"/>
        </w:rPr>
        <w:t>et al.,</w:t>
      </w:r>
      <w:r w:rsidRPr="00473C61">
        <w:rPr>
          <w:rFonts w:ascii="Times New Roman" w:eastAsiaTheme="minorEastAsia" w:hAnsi="Times New Roman"/>
          <w:sz w:val="24"/>
          <w:szCs w:val="24"/>
          <w:lang w:val="en-GB" w:eastAsia="en-GB"/>
        </w:rPr>
        <w:t xml:space="preserve"> 1996</w:t>
      </w:r>
      <w:r w:rsidR="00C313BB" w:rsidRPr="00473C61">
        <w:rPr>
          <w:rFonts w:ascii="Times New Roman" w:eastAsiaTheme="minorEastAsia" w:hAnsi="Times New Roman"/>
          <w:sz w:val="24"/>
          <w:szCs w:val="24"/>
          <w:lang w:val="en-GB" w:eastAsia="en-GB"/>
        </w:rPr>
        <w:t>;</w:t>
      </w:r>
      <w:r w:rsidRPr="00473C61">
        <w:rPr>
          <w:rFonts w:ascii="Times New Roman" w:eastAsiaTheme="minorEastAsia" w:hAnsi="Times New Roman"/>
          <w:sz w:val="24"/>
          <w:szCs w:val="24"/>
          <w:lang w:val="en-GB" w:eastAsia="en-GB"/>
        </w:rPr>
        <w:t xml:space="preserve"> Tootell, 1996) although the majority of later studies </w:t>
      </w:r>
      <w:r w:rsidR="009D51E4" w:rsidRPr="00473C61">
        <w:rPr>
          <w:rFonts w:ascii="Times New Roman" w:eastAsiaTheme="minorEastAsia" w:hAnsi="Times New Roman"/>
          <w:sz w:val="24"/>
          <w:szCs w:val="24"/>
          <w:lang w:val="en-GB" w:eastAsia="en-GB"/>
        </w:rPr>
        <w:t>found</w:t>
      </w:r>
      <w:r w:rsidRPr="00473C61">
        <w:rPr>
          <w:rFonts w:ascii="Times New Roman" w:eastAsiaTheme="minorEastAsia" w:hAnsi="Times New Roman"/>
          <w:sz w:val="24"/>
          <w:szCs w:val="24"/>
          <w:lang w:val="en-GB" w:eastAsia="en-GB"/>
        </w:rPr>
        <w:t xml:space="preserve"> that poor and minority neighbourhoods have less access to mortgage funding (Phillips-Patrick and Rossi</w:t>
      </w:r>
      <w:r w:rsidR="00002409" w:rsidRPr="00473C61">
        <w:rPr>
          <w:rFonts w:ascii="Times New Roman" w:eastAsiaTheme="minorEastAsia" w:hAnsi="Times New Roman"/>
          <w:sz w:val="24"/>
          <w:szCs w:val="24"/>
          <w:lang w:val="en-GB" w:eastAsia="en-GB"/>
        </w:rPr>
        <w:t>,</w:t>
      </w:r>
      <w:r w:rsidRPr="00473C61">
        <w:rPr>
          <w:rFonts w:ascii="Times New Roman" w:eastAsiaTheme="minorEastAsia" w:hAnsi="Times New Roman"/>
          <w:sz w:val="24"/>
          <w:szCs w:val="24"/>
          <w:lang w:val="en-GB" w:eastAsia="en-GB"/>
        </w:rPr>
        <w:t xml:space="preserve"> 1996</w:t>
      </w:r>
      <w:r w:rsidR="00C313BB" w:rsidRPr="00473C61">
        <w:rPr>
          <w:rFonts w:ascii="Times New Roman" w:eastAsiaTheme="minorEastAsia" w:hAnsi="Times New Roman"/>
          <w:sz w:val="24"/>
          <w:szCs w:val="24"/>
          <w:lang w:val="en-GB" w:eastAsia="en-GB"/>
        </w:rPr>
        <w:t>;</w:t>
      </w:r>
      <w:r w:rsidRPr="00473C61">
        <w:rPr>
          <w:rFonts w:ascii="Times New Roman" w:eastAsiaTheme="minorEastAsia" w:hAnsi="Times New Roman"/>
          <w:sz w:val="24"/>
          <w:szCs w:val="24"/>
          <w:lang w:val="en-GB" w:eastAsia="en-GB"/>
        </w:rPr>
        <w:t xml:space="preserve"> Siskin </w:t>
      </w:r>
      <w:r w:rsidR="00C313BB" w:rsidRPr="00473C61">
        <w:rPr>
          <w:rFonts w:ascii="Times New Roman" w:eastAsiaTheme="minorEastAsia" w:hAnsi="Times New Roman"/>
          <w:sz w:val="24"/>
          <w:szCs w:val="24"/>
          <w:lang w:val="en-GB" w:eastAsia="en-GB"/>
        </w:rPr>
        <w:t>and</w:t>
      </w:r>
      <w:r w:rsidRPr="00473C61">
        <w:rPr>
          <w:rFonts w:ascii="Times New Roman" w:eastAsiaTheme="minorEastAsia" w:hAnsi="Times New Roman"/>
          <w:sz w:val="24"/>
          <w:szCs w:val="24"/>
          <w:lang w:val="en-GB" w:eastAsia="en-GB"/>
        </w:rPr>
        <w:t xml:space="preserve"> Cupingood</w:t>
      </w:r>
      <w:r w:rsidR="00002409" w:rsidRPr="00473C61">
        <w:rPr>
          <w:rFonts w:ascii="Times New Roman" w:eastAsiaTheme="minorEastAsia" w:hAnsi="Times New Roman"/>
          <w:sz w:val="24"/>
          <w:szCs w:val="24"/>
          <w:lang w:val="en-GB" w:eastAsia="en-GB"/>
        </w:rPr>
        <w:t>,</w:t>
      </w:r>
      <w:r w:rsidRPr="00473C61">
        <w:rPr>
          <w:rFonts w:ascii="Times New Roman" w:eastAsiaTheme="minorEastAsia" w:hAnsi="Times New Roman"/>
          <w:sz w:val="24"/>
          <w:szCs w:val="24"/>
          <w:lang w:val="en-GB" w:eastAsia="en-GB"/>
        </w:rPr>
        <w:t xml:space="preserve"> 1996</w:t>
      </w:r>
      <w:r w:rsidR="00C313BB" w:rsidRPr="00473C61">
        <w:rPr>
          <w:rFonts w:ascii="Times New Roman" w:eastAsiaTheme="minorEastAsia" w:hAnsi="Times New Roman"/>
          <w:sz w:val="24"/>
          <w:szCs w:val="24"/>
          <w:lang w:val="en-GB" w:eastAsia="en-GB"/>
        </w:rPr>
        <w:t>;</w:t>
      </w:r>
      <w:r w:rsidRPr="00473C61">
        <w:rPr>
          <w:rFonts w:ascii="Times New Roman" w:eastAsiaTheme="minorEastAsia" w:hAnsi="Times New Roman"/>
          <w:sz w:val="24"/>
          <w:szCs w:val="24"/>
          <w:lang w:val="en-GB" w:eastAsia="en-GB"/>
        </w:rPr>
        <w:t xml:space="preserve"> Ross and Yinger</w:t>
      </w:r>
      <w:r w:rsidR="00002409" w:rsidRPr="00473C61">
        <w:rPr>
          <w:rFonts w:ascii="Times New Roman" w:eastAsiaTheme="minorEastAsia" w:hAnsi="Times New Roman"/>
          <w:sz w:val="24"/>
          <w:szCs w:val="24"/>
          <w:lang w:val="en-GB" w:eastAsia="en-GB"/>
        </w:rPr>
        <w:t>,</w:t>
      </w:r>
      <w:r w:rsidRPr="00473C61">
        <w:rPr>
          <w:rFonts w:ascii="Times New Roman" w:eastAsiaTheme="minorEastAsia" w:hAnsi="Times New Roman"/>
          <w:sz w:val="24"/>
          <w:szCs w:val="24"/>
          <w:lang w:val="en-GB" w:eastAsia="en-GB"/>
        </w:rPr>
        <w:t xml:space="preserve"> 1999) and are also more likely to be subject to predatory lending practices than </w:t>
      </w:r>
      <w:r w:rsidR="00233AB0" w:rsidRPr="00473C61">
        <w:rPr>
          <w:rFonts w:ascii="Times New Roman" w:eastAsiaTheme="minorEastAsia" w:hAnsi="Times New Roman"/>
          <w:sz w:val="24"/>
          <w:szCs w:val="24"/>
          <w:lang w:val="en-GB" w:eastAsia="en-GB"/>
        </w:rPr>
        <w:t>comparable white neighbourhoods</w:t>
      </w:r>
      <w:r w:rsidRPr="00473C61">
        <w:rPr>
          <w:rFonts w:ascii="Times New Roman" w:eastAsiaTheme="minorEastAsia" w:hAnsi="Times New Roman"/>
          <w:sz w:val="24"/>
          <w:szCs w:val="24"/>
          <w:lang w:val="en-GB" w:eastAsia="en-GB"/>
        </w:rPr>
        <w:t xml:space="preserve"> (Calem </w:t>
      </w:r>
      <w:r w:rsidR="00002409" w:rsidRPr="00473C61">
        <w:rPr>
          <w:rFonts w:ascii="Times New Roman" w:eastAsiaTheme="minorEastAsia" w:hAnsi="Times New Roman"/>
          <w:sz w:val="24"/>
          <w:szCs w:val="24"/>
          <w:lang w:val="en-GB" w:eastAsia="en-GB"/>
        </w:rPr>
        <w:t>et al.</w:t>
      </w:r>
      <w:r w:rsidR="00CB1624" w:rsidRPr="00473C61">
        <w:rPr>
          <w:rFonts w:ascii="Times New Roman" w:eastAsiaTheme="minorEastAsia" w:hAnsi="Times New Roman"/>
          <w:sz w:val="24"/>
          <w:szCs w:val="24"/>
          <w:lang w:val="en-GB" w:eastAsia="en-GB"/>
        </w:rPr>
        <w:t>,</w:t>
      </w:r>
      <w:r w:rsidRPr="00473C61">
        <w:rPr>
          <w:rFonts w:ascii="Times New Roman" w:eastAsiaTheme="minorEastAsia" w:hAnsi="Times New Roman"/>
          <w:sz w:val="24"/>
          <w:szCs w:val="24"/>
          <w:lang w:val="en-GB" w:eastAsia="en-GB"/>
        </w:rPr>
        <w:t xml:space="preserve"> 2004</w:t>
      </w:r>
      <w:r w:rsidR="00C313BB" w:rsidRPr="00473C61">
        <w:rPr>
          <w:rFonts w:ascii="Times New Roman" w:eastAsiaTheme="minorEastAsia" w:hAnsi="Times New Roman"/>
          <w:sz w:val="24"/>
          <w:szCs w:val="24"/>
          <w:lang w:val="en-GB" w:eastAsia="en-GB"/>
        </w:rPr>
        <w:t>;</w:t>
      </w:r>
      <w:r w:rsidRPr="00473C61">
        <w:rPr>
          <w:rFonts w:ascii="Times New Roman" w:eastAsiaTheme="minorEastAsia" w:hAnsi="Times New Roman"/>
          <w:sz w:val="24"/>
          <w:szCs w:val="24"/>
          <w:lang w:val="en-GB" w:eastAsia="en-GB"/>
        </w:rPr>
        <w:t xml:space="preserve"> Williams </w:t>
      </w:r>
      <w:r w:rsidR="00002409" w:rsidRPr="00473C61">
        <w:rPr>
          <w:rFonts w:ascii="Times New Roman" w:eastAsiaTheme="minorEastAsia" w:hAnsi="Times New Roman"/>
          <w:sz w:val="24"/>
          <w:szCs w:val="24"/>
          <w:lang w:val="en-GB" w:eastAsia="en-GB"/>
        </w:rPr>
        <w:t>et al.</w:t>
      </w:r>
      <w:r w:rsidR="00CB1624" w:rsidRPr="00473C61">
        <w:rPr>
          <w:rFonts w:ascii="Times New Roman" w:eastAsiaTheme="minorEastAsia" w:hAnsi="Times New Roman"/>
          <w:sz w:val="24"/>
          <w:szCs w:val="24"/>
          <w:lang w:val="en-GB" w:eastAsia="en-GB"/>
        </w:rPr>
        <w:t>,</w:t>
      </w:r>
      <w:r w:rsidRPr="00473C61">
        <w:rPr>
          <w:rFonts w:ascii="Times New Roman" w:eastAsiaTheme="minorEastAsia" w:hAnsi="Times New Roman"/>
          <w:sz w:val="24"/>
          <w:szCs w:val="24"/>
          <w:lang w:val="en-GB" w:eastAsia="en-GB"/>
        </w:rPr>
        <w:t xml:space="preserve"> 2005</w:t>
      </w:r>
      <w:r w:rsidR="00C313BB" w:rsidRPr="00473C61">
        <w:rPr>
          <w:rFonts w:ascii="Times New Roman" w:eastAsiaTheme="minorEastAsia" w:hAnsi="Times New Roman"/>
          <w:sz w:val="24"/>
          <w:szCs w:val="24"/>
          <w:lang w:val="en-GB" w:eastAsia="en-GB"/>
        </w:rPr>
        <w:t xml:space="preserve">; </w:t>
      </w:r>
      <w:r w:rsidRPr="00473C61">
        <w:rPr>
          <w:rFonts w:ascii="Times New Roman" w:eastAsiaTheme="minorEastAsia" w:hAnsi="Times New Roman"/>
          <w:sz w:val="24"/>
          <w:szCs w:val="24"/>
          <w:lang w:val="en-GB" w:eastAsia="en-GB"/>
        </w:rPr>
        <w:t>Dymski, 2006)</w:t>
      </w:r>
      <w:r w:rsidR="00233AB0" w:rsidRPr="00473C61">
        <w:rPr>
          <w:rFonts w:ascii="Times New Roman" w:eastAsiaTheme="minorEastAsia" w:hAnsi="Times New Roman"/>
          <w:sz w:val="24"/>
          <w:szCs w:val="24"/>
          <w:lang w:val="en-GB" w:eastAsia="en-GB"/>
        </w:rPr>
        <w:t>.</w:t>
      </w:r>
      <w:r w:rsidRPr="00473C61">
        <w:rPr>
          <w:rFonts w:ascii="Times New Roman" w:eastAsiaTheme="minorEastAsia" w:hAnsi="Times New Roman"/>
          <w:sz w:val="24"/>
          <w:szCs w:val="24"/>
          <w:lang w:val="en-GB" w:eastAsia="en-GB"/>
        </w:rPr>
        <w:t xml:space="preserve"> </w:t>
      </w:r>
    </w:p>
    <w:p w:rsidR="004B4F8C" w:rsidRPr="00473C61" w:rsidRDefault="004B4F8C" w:rsidP="001D6D37">
      <w:pPr>
        <w:autoSpaceDE w:val="0"/>
        <w:autoSpaceDN w:val="0"/>
        <w:adjustRightInd w:val="0"/>
        <w:spacing w:after="0" w:line="480" w:lineRule="auto"/>
        <w:jc w:val="both"/>
        <w:rPr>
          <w:rFonts w:ascii="Times New Roman" w:eastAsiaTheme="minorEastAsia" w:hAnsi="Times New Roman"/>
          <w:sz w:val="24"/>
          <w:szCs w:val="24"/>
          <w:lang w:val="en-GB" w:eastAsia="en-GB"/>
        </w:rPr>
      </w:pPr>
    </w:p>
    <w:p w:rsidR="00EB71E2" w:rsidRPr="00473C61" w:rsidRDefault="00EB71E2" w:rsidP="001D6D37">
      <w:pPr>
        <w:autoSpaceDE w:val="0"/>
        <w:autoSpaceDN w:val="0"/>
        <w:adjustRightInd w:val="0"/>
        <w:spacing w:after="0" w:line="480" w:lineRule="auto"/>
        <w:jc w:val="both"/>
        <w:rPr>
          <w:rFonts w:ascii="Times New Roman" w:eastAsiaTheme="minorEastAsia" w:hAnsi="Times New Roman"/>
          <w:sz w:val="24"/>
          <w:szCs w:val="24"/>
          <w:lang w:val="en-GB" w:eastAsia="en-GB"/>
        </w:rPr>
      </w:pPr>
      <w:r w:rsidRPr="00473C61">
        <w:rPr>
          <w:rFonts w:ascii="Times New Roman" w:eastAsiaTheme="minorEastAsia" w:hAnsi="Times New Roman"/>
          <w:sz w:val="24"/>
          <w:szCs w:val="24"/>
          <w:lang w:val="en-GB" w:eastAsia="en-GB"/>
        </w:rPr>
        <w:t>Literature on discrimination in the consumer credit market is typically U.S. focused yet less developed than that on mortgage financing</w:t>
      </w:r>
      <w:r w:rsidRPr="00473C61">
        <w:rPr>
          <w:rFonts w:ascii="Times New Roman" w:eastAsiaTheme="minorEastAsia" w:hAnsi="Times New Roman"/>
          <w:sz w:val="24"/>
          <w:szCs w:val="24"/>
          <w:vertAlign w:val="superscript"/>
          <w:lang w:val="en-GB" w:eastAsia="en-GB"/>
        </w:rPr>
        <w:footnoteReference w:id="4"/>
      </w:r>
      <w:r w:rsidRPr="00473C61">
        <w:rPr>
          <w:rFonts w:ascii="Times New Roman" w:eastAsiaTheme="minorEastAsia" w:hAnsi="Times New Roman"/>
          <w:sz w:val="24"/>
          <w:szCs w:val="24"/>
          <w:lang w:val="en-GB" w:eastAsia="en-GB"/>
        </w:rPr>
        <w:t xml:space="preserve">. Early studies that use Household Survey data tend to be mixed with some finding evidence that minorities are not discriminated against in terms of access to consumer credit (Lindley </w:t>
      </w:r>
      <w:r w:rsidR="00002409" w:rsidRPr="00473C61">
        <w:rPr>
          <w:rFonts w:ascii="Times New Roman" w:eastAsiaTheme="minorEastAsia" w:hAnsi="Times New Roman"/>
          <w:sz w:val="24"/>
          <w:szCs w:val="24"/>
          <w:lang w:val="en-GB" w:eastAsia="en-GB"/>
        </w:rPr>
        <w:t>et al.</w:t>
      </w:r>
      <w:r w:rsidRPr="00473C61">
        <w:rPr>
          <w:rFonts w:ascii="Times New Roman" w:eastAsiaTheme="minorEastAsia" w:hAnsi="Times New Roman"/>
          <w:sz w:val="24"/>
          <w:szCs w:val="24"/>
          <w:lang w:val="en-GB" w:eastAsia="en-GB"/>
        </w:rPr>
        <w:t xml:space="preserve">, 1984; Hawley </w:t>
      </w:r>
      <w:r w:rsidR="00C313BB" w:rsidRPr="00473C61">
        <w:rPr>
          <w:rFonts w:ascii="Times New Roman" w:eastAsiaTheme="minorEastAsia" w:hAnsi="Times New Roman"/>
          <w:sz w:val="24"/>
          <w:szCs w:val="24"/>
          <w:lang w:val="en-GB" w:eastAsia="en-GB"/>
        </w:rPr>
        <w:t>and</w:t>
      </w:r>
      <w:r w:rsidRPr="00473C61">
        <w:rPr>
          <w:rFonts w:ascii="Times New Roman" w:eastAsiaTheme="minorEastAsia" w:hAnsi="Times New Roman"/>
          <w:sz w:val="24"/>
          <w:szCs w:val="24"/>
          <w:lang w:val="en-GB" w:eastAsia="en-GB"/>
        </w:rPr>
        <w:t xml:space="preserve"> Fujii, 1991) while other studies find that loan approval rates are lower for minorities (Duca and Rosenthal</w:t>
      </w:r>
      <w:r w:rsidR="00C313BB" w:rsidRPr="00473C61">
        <w:rPr>
          <w:rFonts w:ascii="Times New Roman" w:eastAsiaTheme="minorEastAsia" w:hAnsi="Times New Roman"/>
          <w:sz w:val="24"/>
          <w:szCs w:val="24"/>
          <w:lang w:val="en-GB" w:eastAsia="en-GB"/>
        </w:rPr>
        <w:t>,</w:t>
      </w:r>
      <w:r w:rsidRPr="00473C61">
        <w:rPr>
          <w:rFonts w:ascii="Times New Roman" w:eastAsiaTheme="minorEastAsia" w:hAnsi="Times New Roman"/>
          <w:sz w:val="24"/>
          <w:szCs w:val="24"/>
          <w:lang w:val="en-GB" w:eastAsia="en-GB"/>
        </w:rPr>
        <w:t xml:space="preserve"> 1993)</w:t>
      </w:r>
      <w:r w:rsidRPr="00473C61">
        <w:rPr>
          <w:rFonts w:ascii="Times New Roman" w:eastAsiaTheme="minorEastAsia" w:hAnsi="Times New Roman"/>
          <w:sz w:val="24"/>
          <w:szCs w:val="24"/>
          <w:vertAlign w:val="superscript"/>
          <w:lang w:val="en-GB" w:eastAsia="en-GB"/>
        </w:rPr>
        <w:footnoteReference w:id="5"/>
      </w:r>
      <w:r w:rsidRPr="00473C61">
        <w:rPr>
          <w:rFonts w:ascii="Times New Roman" w:eastAsiaTheme="minorEastAsia" w:hAnsi="Times New Roman"/>
          <w:sz w:val="24"/>
          <w:szCs w:val="24"/>
          <w:lang w:val="en-GB" w:eastAsia="en-GB"/>
        </w:rPr>
        <w:t xml:space="preserve">. A number of studies look at auto loan pricing and find no evidence of discrimination (Goldberg, 1996; Martin and Hill, 2000) although this could be because non-price terms differ for minorities compared to whites leading those discriminated against to drop out of the market (Ayres and Siegelman, 1995).  Edelberg (2007) uses data from the tri-annual Surveys of Consumer Finance (SCF) to investigate </w:t>
      </w:r>
      <w:r w:rsidR="00002409" w:rsidRPr="00473C61">
        <w:rPr>
          <w:rFonts w:ascii="Times New Roman" w:eastAsiaTheme="minorEastAsia" w:hAnsi="Times New Roman"/>
          <w:sz w:val="24"/>
          <w:szCs w:val="24"/>
          <w:lang w:val="en-GB" w:eastAsia="en-GB"/>
        </w:rPr>
        <w:t>consumer loan pricing and finds</w:t>
      </w:r>
      <w:r w:rsidRPr="00473C61">
        <w:rPr>
          <w:rFonts w:ascii="Times New Roman" w:eastAsiaTheme="minorEastAsia" w:hAnsi="Times New Roman"/>
          <w:sz w:val="24"/>
          <w:szCs w:val="24"/>
          <w:lang w:val="en-GB" w:eastAsia="en-GB"/>
        </w:rPr>
        <w:t xml:space="preserve"> ‘that interest rates on loans issued before the 1995 show a statistically significant degree of unexplained racial </w:t>
      </w:r>
      <w:r w:rsidRPr="00473C61">
        <w:rPr>
          <w:rFonts w:ascii="Times New Roman" w:eastAsiaTheme="minorEastAsia" w:hAnsi="Times New Roman"/>
          <w:sz w:val="24"/>
          <w:szCs w:val="24"/>
          <w:lang w:val="en-GB" w:eastAsia="en-GB"/>
        </w:rPr>
        <w:lastRenderedPageBreak/>
        <w:t>heterogeneity even after controlling for the financial costs of issuing debt’(p.2). Edberg also find that discrimination is more robust among homeowners than renters. More recently Lin (2010) uses SCF data and finds that lenders chose to discriminate against black and Hispanics because</w:t>
      </w:r>
      <w:r w:rsidR="009D51E4" w:rsidRPr="00473C61">
        <w:rPr>
          <w:rFonts w:ascii="Times New Roman" w:eastAsiaTheme="minorEastAsia" w:hAnsi="Times New Roman"/>
          <w:sz w:val="24"/>
          <w:szCs w:val="24"/>
          <w:lang w:val="en-GB" w:eastAsia="en-GB"/>
        </w:rPr>
        <w:t>,</w:t>
      </w:r>
      <w:r w:rsidRPr="00473C61">
        <w:rPr>
          <w:rFonts w:ascii="Times New Roman" w:eastAsiaTheme="minorEastAsia" w:hAnsi="Times New Roman"/>
          <w:sz w:val="24"/>
          <w:szCs w:val="24"/>
          <w:lang w:val="en-GB" w:eastAsia="en-GB"/>
        </w:rPr>
        <w:t xml:space="preserve"> on average</w:t>
      </w:r>
      <w:r w:rsidR="009D51E4" w:rsidRPr="00473C61">
        <w:rPr>
          <w:rFonts w:ascii="Times New Roman" w:eastAsiaTheme="minorEastAsia" w:hAnsi="Times New Roman"/>
          <w:sz w:val="24"/>
          <w:szCs w:val="24"/>
          <w:lang w:val="en-GB" w:eastAsia="en-GB"/>
        </w:rPr>
        <w:t>, they</w:t>
      </w:r>
      <w:r w:rsidRPr="00473C61">
        <w:rPr>
          <w:rFonts w:ascii="Times New Roman" w:eastAsiaTheme="minorEastAsia" w:hAnsi="Times New Roman"/>
          <w:sz w:val="24"/>
          <w:szCs w:val="24"/>
          <w:lang w:val="en-GB" w:eastAsia="en-GB"/>
        </w:rPr>
        <w:t xml:space="preserve"> have higher default risk</w:t>
      </w:r>
      <w:r w:rsidRPr="00473C61">
        <w:rPr>
          <w:rFonts w:ascii="Times New Roman" w:eastAsiaTheme="minorEastAsia" w:hAnsi="Times New Roman"/>
          <w:sz w:val="24"/>
          <w:szCs w:val="24"/>
          <w:vertAlign w:val="superscript"/>
          <w:lang w:val="en-GB" w:eastAsia="en-GB"/>
        </w:rPr>
        <w:footnoteReference w:id="6"/>
      </w:r>
      <w:r w:rsidRPr="00473C61">
        <w:rPr>
          <w:rFonts w:ascii="Times New Roman" w:eastAsiaTheme="minorEastAsia" w:hAnsi="Times New Roman"/>
          <w:sz w:val="24"/>
          <w:szCs w:val="24"/>
          <w:lang w:val="en-GB" w:eastAsia="en-GB"/>
        </w:rPr>
        <w:t xml:space="preserve">.   </w:t>
      </w:r>
    </w:p>
    <w:p w:rsidR="00266F44" w:rsidRPr="00473C61" w:rsidRDefault="00266F44" w:rsidP="001D6D37">
      <w:pPr>
        <w:autoSpaceDE w:val="0"/>
        <w:autoSpaceDN w:val="0"/>
        <w:adjustRightInd w:val="0"/>
        <w:spacing w:after="0" w:line="480" w:lineRule="auto"/>
        <w:jc w:val="both"/>
        <w:rPr>
          <w:rFonts w:ascii="Times New Roman" w:eastAsiaTheme="minorEastAsia" w:hAnsi="Times New Roman"/>
          <w:sz w:val="24"/>
          <w:szCs w:val="24"/>
          <w:lang w:val="en-GB" w:eastAsia="en-GB"/>
        </w:rPr>
      </w:pPr>
    </w:p>
    <w:p w:rsidR="00411749" w:rsidRPr="00473C61" w:rsidRDefault="00233590">
      <w:pPr>
        <w:autoSpaceDE w:val="0"/>
        <w:autoSpaceDN w:val="0"/>
        <w:adjustRightInd w:val="0"/>
        <w:spacing w:after="0" w:line="480" w:lineRule="auto"/>
        <w:jc w:val="both"/>
        <w:rPr>
          <w:rFonts w:ascii="Times New Roman" w:eastAsiaTheme="minorEastAsia" w:hAnsi="Times New Roman"/>
          <w:sz w:val="24"/>
          <w:szCs w:val="24"/>
          <w:lang w:val="en-GB" w:eastAsia="en-GB"/>
        </w:rPr>
      </w:pPr>
      <w:r w:rsidRPr="00473C61">
        <w:rPr>
          <w:rFonts w:ascii="Times New Roman" w:eastAsiaTheme="minorEastAsia" w:hAnsi="Times New Roman"/>
          <w:sz w:val="24"/>
          <w:szCs w:val="24"/>
          <w:lang w:val="en-GB" w:eastAsia="en-GB"/>
        </w:rPr>
        <w:t>As highlighted above, there is an extensive literature on financial exclusion and discrimination in the financial services sector</w:t>
      </w:r>
      <w:r w:rsidR="008471C9" w:rsidRPr="00473C61">
        <w:rPr>
          <w:rFonts w:ascii="Times New Roman" w:eastAsiaTheme="minorEastAsia" w:hAnsi="Times New Roman"/>
          <w:sz w:val="24"/>
          <w:szCs w:val="24"/>
          <w:lang w:val="en-GB" w:eastAsia="en-GB"/>
        </w:rPr>
        <w:t xml:space="preserve"> which, overall, tends to find that higher income households typically have greater access compared to their </w:t>
      </w:r>
      <w:r w:rsidR="00AC3B88" w:rsidRPr="00473C61">
        <w:rPr>
          <w:rFonts w:ascii="Times New Roman" w:eastAsiaTheme="minorEastAsia" w:hAnsi="Times New Roman"/>
          <w:sz w:val="24"/>
          <w:szCs w:val="24"/>
          <w:lang w:val="en-GB" w:eastAsia="en-GB"/>
        </w:rPr>
        <w:t>lower income counterparts, and, all other things being equal, white households have better access than</w:t>
      </w:r>
      <w:r w:rsidR="008471C9" w:rsidRPr="00473C61">
        <w:rPr>
          <w:rFonts w:ascii="Times New Roman" w:eastAsiaTheme="minorEastAsia" w:hAnsi="Times New Roman"/>
          <w:sz w:val="24"/>
          <w:szCs w:val="24"/>
          <w:lang w:val="en-GB" w:eastAsia="en-GB"/>
        </w:rPr>
        <w:t xml:space="preserve"> minorit</w:t>
      </w:r>
      <w:r w:rsidR="00AC3B88" w:rsidRPr="00473C61">
        <w:rPr>
          <w:rFonts w:ascii="Times New Roman" w:eastAsiaTheme="minorEastAsia" w:hAnsi="Times New Roman"/>
          <w:sz w:val="24"/>
          <w:szCs w:val="24"/>
          <w:lang w:val="en-GB" w:eastAsia="en-GB"/>
        </w:rPr>
        <w:t>y households</w:t>
      </w:r>
      <w:r w:rsidRPr="00473C61">
        <w:rPr>
          <w:rFonts w:ascii="Times New Roman" w:eastAsiaTheme="minorEastAsia" w:hAnsi="Times New Roman"/>
          <w:sz w:val="24"/>
          <w:szCs w:val="24"/>
          <w:lang w:val="en-GB" w:eastAsia="en-GB"/>
        </w:rPr>
        <w:t xml:space="preserve">. The remainder of this paper seeks to </w:t>
      </w:r>
      <w:r w:rsidR="00AC3B88" w:rsidRPr="00473C61">
        <w:rPr>
          <w:rFonts w:ascii="Times New Roman" w:eastAsiaTheme="minorEastAsia" w:hAnsi="Times New Roman"/>
          <w:sz w:val="24"/>
          <w:szCs w:val="24"/>
          <w:lang w:val="en-GB" w:eastAsia="en-GB"/>
        </w:rPr>
        <w:t>investigate these issues further by b</w:t>
      </w:r>
      <w:r w:rsidRPr="00473C61">
        <w:rPr>
          <w:rFonts w:ascii="Times New Roman" w:eastAsiaTheme="minorEastAsia" w:hAnsi="Times New Roman"/>
          <w:sz w:val="24"/>
          <w:szCs w:val="24"/>
          <w:lang w:val="en-GB" w:eastAsia="en-GB"/>
        </w:rPr>
        <w:t>orrow</w:t>
      </w:r>
      <w:r w:rsidR="00AC3B88" w:rsidRPr="00473C61">
        <w:rPr>
          <w:rFonts w:ascii="Times New Roman" w:eastAsiaTheme="minorEastAsia" w:hAnsi="Times New Roman"/>
          <w:sz w:val="24"/>
          <w:szCs w:val="24"/>
          <w:lang w:val="en-GB" w:eastAsia="en-GB"/>
        </w:rPr>
        <w:t>ing</w:t>
      </w:r>
      <w:r w:rsidRPr="00473C61">
        <w:rPr>
          <w:rFonts w:ascii="Times New Roman" w:eastAsiaTheme="minorEastAsia" w:hAnsi="Times New Roman"/>
          <w:sz w:val="24"/>
          <w:szCs w:val="24"/>
          <w:lang w:val="en-GB" w:eastAsia="en-GB"/>
        </w:rPr>
        <w:t xml:space="preserve"> from the e</w:t>
      </w:r>
      <w:r w:rsidR="00AC3B88" w:rsidRPr="00473C61">
        <w:rPr>
          <w:rFonts w:ascii="Times New Roman" w:eastAsiaTheme="minorEastAsia" w:hAnsi="Times New Roman"/>
          <w:sz w:val="24"/>
          <w:szCs w:val="24"/>
          <w:lang w:val="en-GB" w:eastAsia="en-GB"/>
        </w:rPr>
        <w:t xml:space="preserve">stablished </w:t>
      </w:r>
      <w:r w:rsidRPr="00473C61">
        <w:rPr>
          <w:rFonts w:ascii="Times New Roman" w:eastAsiaTheme="minorEastAsia" w:hAnsi="Times New Roman"/>
          <w:sz w:val="24"/>
          <w:szCs w:val="24"/>
          <w:lang w:val="en-GB" w:eastAsia="en-GB"/>
        </w:rPr>
        <w:t>exclusion and discrimination literature</w:t>
      </w:r>
      <w:r w:rsidR="00AC3B88" w:rsidRPr="00473C61">
        <w:rPr>
          <w:rFonts w:ascii="Times New Roman" w:eastAsiaTheme="minorEastAsia" w:hAnsi="Times New Roman"/>
          <w:sz w:val="24"/>
          <w:szCs w:val="24"/>
          <w:lang w:val="en-GB" w:eastAsia="en-GB"/>
        </w:rPr>
        <w:t xml:space="preserve"> so as </w:t>
      </w:r>
      <w:r w:rsidRPr="00473C61">
        <w:rPr>
          <w:rFonts w:ascii="Times New Roman" w:eastAsiaTheme="minorEastAsia" w:hAnsi="Times New Roman"/>
          <w:sz w:val="24"/>
          <w:szCs w:val="24"/>
          <w:lang w:val="en-GB" w:eastAsia="en-GB"/>
        </w:rPr>
        <w:t xml:space="preserve">to develop a more rigorous </w:t>
      </w:r>
      <w:r w:rsidR="00AC3B88" w:rsidRPr="00473C61">
        <w:rPr>
          <w:rFonts w:ascii="Times New Roman" w:eastAsiaTheme="minorEastAsia" w:hAnsi="Times New Roman"/>
          <w:sz w:val="24"/>
          <w:szCs w:val="24"/>
          <w:lang w:val="en-GB" w:eastAsia="en-GB"/>
        </w:rPr>
        <w:t xml:space="preserve">approach </w:t>
      </w:r>
      <w:r w:rsidRPr="00473C61">
        <w:rPr>
          <w:rFonts w:ascii="Times New Roman" w:hAnsi="Times New Roman"/>
          <w:sz w:val="24"/>
          <w:szCs w:val="24"/>
          <w:lang w:val="en-GB"/>
        </w:rPr>
        <w:t>t</w:t>
      </w:r>
      <w:r w:rsidR="00B45962" w:rsidRPr="00473C61">
        <w:rPr>
          <w:rFonts w:ascii="Times New Roman" w:hAnsi="Times New Roman"/>
          <w:sz w:val="24"/>
          <w:szCs w:val="24"/>
          <w:lang w:val="en-GB"/>
        </w:rPr>
        <w:t xml:space="preserve">o investigate </w:t>
      </w:r>
      <w:r w:rsidR="008471C9" w:rsidRPr="00473C61">
        <w:rPr>
          <w:rFonts w:ascii="Times New Roman" w:hAnsi="Times New Roman"/>
          <w:sz w:val="24"/>
          <w:szCs w:val="24"/>
          <w:lang w:val="en-GB"/>
        </w:rPr>
        <w:t xml:space="preserve">access to finance </w:t>
      </w:r>
      <w:r w:rsidRPr="00473C61">
        <w:rPr>
          <w:rFonts w:ascii="Times New Roman" w:hAnsi="Times New Roman"/>
          <w:sz w:val="24"/>
          <w:szCs w:val="24"/>
          <w:lang w:val="en-GB"/>
        </w:rPr>
        <w:t xml:space="preserve">in the market for consumer credit in the UK. </w:t>
      </w:r>
    </w:p>
    <w:p w:rsidR="005B5C87" w:rsidRPr="00473C61" w:rsidRDefault="005B5C87" w:rsidP="001D6D37">
      <w:pPr>
        <w:spacing w:after="0" w:line="480" w:lineRule="auto"/>
        <w:jc w:val="both"/>
        <w:rPr>
          <w:rFonts w:ascii="Times New Roman" w:hAnsi="Times New Roman"/>
          <w:sz w:val="24"/>
          <w:szCs w:val="24"/>
          <w:lang w:val="en-GB" w:eastAsia="en-GB"/>
        </w:rPr>
      </w:pPr>
    </w:p>
    <w:p w:rsidR="005B5C87" w:rsidRPr="00473C61" w:rsidRDefault="00A97DEB" w:rsidP="001D6D37">
      <w:pPr>
        <w:numPr>
          <w:ilvl w:val="0"/>
          <w:numId w:val="4"/>
        </w:numPr>
        <w:spacing w:after="0" w:line="480" w:lineRule="auto"/>
        <w:jc w:val="both"/>
        <w:rPr>
          <w:rFonts w:ascii="Times New Roman" w:hAnsi="Times New Roman"/>
          <w:b/>
          <w:sz w:val="24"/>
          <w:szCs w:val="24"/>
        </w:rPr>
      </w:pPr>
      <w:r w:rsidRPr="00473C61">
        <w:rPr>
          <w:rFonts w:ascii="Times New Roman" w:hAnsi="Times New Roman"/>
          <w:b/>
          <w:sz w:val="24"/>
          <w:szCs w:val="24"/>
        </w:rPr>
        <w:t>DATA AND METHODOLOGY</w:t>
      </w:r>
    </w:p>
    <w:p w:rsidR="005B5C87" w:rsidRPr="00473C61" w:rsidRDefault="005B5C87" w:rsidP="005B67CE">
      <w:pPr>
        <w:spacing w:after="0" w:line="480" w:lineRule="auto"/>
        <w:jc w:val="both"/>
        <w:rPr>
          <w:rFonts w:ascii="Times New Roman" w:hAnsi="Times New Roman"/>
          <w:sz w:val="24"/>
          <w:szCs w:val="24"/>
        </w:rPr>
      </w:pPr>
    </w:p>
    <w:p w:rsidR="005B5C87" w:rsidRPr="00473C61" w:rsidRDefault="00A410B2" w:rsidP="001D6D37">
      <w:pPr>
        <w:numPr>
          <w:ilvl w:val="1"/>
          <w:numId w:val="4"/>
        </w:numPr>
        <w:spacing w:after="0" w:line="480" w:lineRule="auto"/>
        <w:ind w:left="426" w:hanging="426"/>
        <w:jc w:val="both"/>
        <w:rPr>
          <w:rFonts w:ascii="Times New Roman" w:hAnsi="Times New Roman"/>
          <w:i/>
          <w:sz w:val="24"/>
          <w:szCs w:val="24"/>
        </w:rPr>
      </w:pPr>
      <w:r w:rsidRPr="00473C61">
        <w:rPr>
          <w:rFonts w:ascii="Times New Roman" w:hAnsi="Times New Roman"/>
          <w:i/>
          <w:sz w:val="24"/>
          <w:szCs w:val="24"/>
        </w:rPr>
        <w:t>Data</w:t>
      </w:r>
    </w:p>
    <w:p w:rsidR="005B5C87" w:rsidRPr="00473C61" w:rsidRDefault="005B5C87" w:rsidP="001D6D37">
      <w:pPr>
        <w:spacing w:after="0" w:line="480" w:lineRule="auto"/>
        <w:jc w:val="both"/>
        <w:rPr>
          <w:rFonts w:ascii="Times New Roman" w:hAnsi="Times New Roman"/>
          <w:sz w:val="24"/>
          <w:szCs w:val="24"/>
        </w:rPr>
      </w:pPr>
      <w:r w:rsidRPr="00473C61">
        <w:rPr>
          <w:rFonts w:ascii="Times New Roman" w:hAnsi="Times New Roman"/>
          <w:sz w:val="24"/>
          <w:szCs w:val="24"/>
        </w:rPr>
        <w:t xml:space="preserve">We collect our data from the Living Costs and Food Survey </w:t>
      </w:r>
      <w:r w:rsidR="00995EA5" w:rsidRPr="00473C61">
        <w:rPr>
          <w:rFonts w:ascii="Times New Roman" w:hAnsi="Times New Roman"/>
          <w:sz w:val="24"/>
          <w:szCs w:val="24"/>
        </w:rPr>
        <w:t xml:space="preserve">gathered by the </w:t>
      </w:r>
      <w:r w:rsidRPr="00473C61">
        <w:rPr>
          <w:rFonts w:ascii="Times New Roman" w:hAnsi="Times New Roman"/>
          <w:sz w:val="24"/>
          <w:szCs w:val="24"/>
        </w:rPr>
        <w:t xml:space="preserve">Office of National Statistics in the UK.  This is an annual exercise to collect data on private household expenditure on goods and services. The results are multipurpose thereby serving as an instrumental source of economic and social data.  The survey targets a representative UK sample of approximately 6,000 households and between 13,000 and 16,000 individuals every calendar year. Most of the questions address </w:t>
      </w:r>
      <w:r w:rsidR="00A05682" w:rsidRPr="00473C61">
        <w:rPr>
          <w:rFonts w:ascii="Times New Roman" w:hAnsi="Times New Roman"/>
          <w:sz w:val="24"/>
          <w:szCs w:val="24"/>
        </w:rPr>
        <w:t xml:space="preserve">issues relating </w:t>
      </w:r>
      <w:r w:rsidR="004403E9" w:rsidRPr="00473C61">
        <w:rPr>
          <w:rFonts w:ascii="Times New Roman" w:hAnsi="Times New Roman"/>
          <w:sz w:val="24"/>
          <w:szCs w:val="24"/>
        </w:rPr>
        <w:t>to household</w:t>
      </w:r>
      <w:r w:rsidRPr="00473C61">
        <w:rPr>
          <w:rFonts w:ascii="Times New Roman" w:hAnsi="Times New Roman"/>
          <w:sz w:val="24"/>
          <w:szCs w:val="24"/>
        </w:rPr>
        <w:t xml:space="preserve"> </w:t>
      </w:r>
      <w:r w:rsidR="004403E9" w:rsidRPr="00473C61">
        <w:rPr>
          <w:rFonts w:ascii="Times New Roman" w:hAnsi="Times New Roman"/>
          <w:sz w:val="24"/>
          <w:szCs w:val="24"/>
        </w:rPr>
        <w:t>characteristics such</w:t>
      </w:r>
      <w:r w:rsidR="00A05682" w:rsidRPr="00473C61">
        <w:rPr>
          <w:rFonts w:ascii="Times New Roman" w:hAnsi="Times New Roman"/>
          <w:sz w:val="24"/>
          <w:szCs w:val="24"/>
        </w:rPr>
        <w:t xml:space="preserve"> as,</w:t>
      </w:r>
      <w:r w:rsidRPr="00473C61">
        <w:rPr>
          <w:rFonts w:ascii="Times New Roman" w:hAnsi="Times New Roman"/>
          <w:sz w:val="24"/>
          <w:szCs w:val="24"/>
        </w:rPr>
        <w:t xml:space="preserve"> rac</w:t>
      </w:r>
      <w:r w:rsidR="00995EA5" w:rsidRPr="00473C61">
        <w:rPr>
          <w:rFonts w:ascii="Times New Roman" w:hAnsi="Times New Roman"/>
          <w:sz w:val="24"/>
          <w:szCs w:val="24"/>
        </w:rPr>
        <w:t>e</w:t>
      </w:r>
      <w:r w:rsidRPr="00473C61">
        <w:rPr>
          <w:rFonts w:ascii="Times New Roman" w:hAnsi="Times New Roman"/>
          <w:sz w:val="24"/>
          <w:szCs w:val="24"/>
        </w:rPr>
        <w:t xml:space="preserve">, family relations, employment details, </w:t>
      </w:r>
      <w:r w:rsidR="00A05682" w:rsidRPr="00473C61">
        <w:rPr>
          <w:rFonts w:ascii="Times New Roman" w:hAnsi="Times New Roman"/>
          <w:sz w:val="24"/>
          <w:szCs w:val="24"/>
        </w:rPr>
        <w:t>as well as information on household spending and income features</w:t>
      </w:r>
      <w:r w:rsidRPr="00473C61">
        <w:rPr>
          <w:rFonts w:ascii="Times New Roman" w:hAnsi="Times New Roman"/>
          <w:sz w:val="24"/>
          <w:szCs w:val="24"/>
        </w:rPr>
        <w:t xml:space="preserve">. </w:t>
      </w:r>
      <w:r w:rsidR="00A8330F" w:rsidRPr="00473C61">
        <w:rPr>
          <w:rFonts w:ascii="Times New Roman" w:hAnsi="Times New Roman"/>
          <w:sz w:val="24"/>
          <w:szCs w:val="24"/>
        </w:rPr>
        <w:t xml:space="preserve"> </w:t>
      </w:r>
      <w:r w:rsidRPr="00473C61">
        <w:rPr>
          <w:rFonts w:ascii="Times New Roman" w:hAnsi="Times New Roman"/>
          <w:sz w:val="24"/>
          <w:szCs w:val="24"/>
        </w:rPr>
        <w:t>The anonymi</w:t>
      </w:r>
      <w:r w:rsidR="00A05682" w:rsidRPr="00473C61">
        <w:rPr>
          <w:rFonts w:ascii="Times New Roman" w:hAnsi="Times New Roman"/>
          <w:sz w:val="24"/>
          <w:szCs w:val="24"/>
        </w:rPr>
        <w:t>s</w:t>
      </w:r>
      <w:r w:rsidRPr="00473C61">
        <w:rPr>
          <w:rFonts w:ascii="Times New Roman" w:hAnsi="Times New Roman"/>
          <w:sz w:val="24"/>
          <w:szCs w:val="24"/>
        </w:rPr>
        <w:t xml:space="preserve">ed </w:t>
      </w:r>
      <w:r w:rsidR="000E15A1" w:rsidRPr="00473C61">
        <w:rPr>
          <w:rFonts w:ascii="Times New Roman" w:hAnsi="Times New Roman"/>
          <w:sz w:val="24"/>
          <w:szCs w:val="24"/>
        </w:rPr>
        <w:t>version of the survey results from 2001 to 2009 is</w:t>
      </w:r>
      <w:r w:rsidRPr="00473C61">
        <w:rPr>
          <w:rFonts w:ascii="Times New Roman" w:hAnsi="Times New Roman"/>
          <w:sz w:val="24"/>
          <w:szCs w:val="24"/>
        </w:rPr>
        <w:t xml:space="preserve"> </w:t>
      </w:r>
      <w:r w:rsidRPr="00473C61">
        <w:rPr>
          <w:rFonts w:ascii="Times New Roman" w:hAnsi="Times New Roman"/>
          <w:sz w:val="24"/>
          <w:szCs w:val="24"/>
        </w:rPr>
        <w:lastRenderedPageBreak/>
        <w:t xml:space="preserve">obtained from the Economic and Social Data Service (ESDS) a division of the UK Data Archive. </w:t>
      </w:r>
      <w:r w:rsidR="00A05682" w:rsidRPr="00473C61">
        <w:rPr>
          <w:rFonts w:ascii="Times New Roman" w:hAnsi="Times New Roman"/>
          <w:sz w:val="24"/>
          <w:szCs w:val="24"/>
        </w:rPr>
        <w:t>The total sample amounts to</w:t>
      </w:r>
      <w:r w:rsidR="007E7CBA" w:rsidRPr="00473C61">
        <w:rPr>
          <w:rFonts w:ascii="Times New Roman" w:hAnsi="Times New Roman"/>
          <w:sz w:val="24"/>
          <w:szCs w:val="24"/>
        </w:rPr>
        <w:t xml:space="preserve"> 58,642</w:t>
      </w:r>
      <w:r w:rsidR="004403E9" w:rsidRPr="00473C61">
        <w:rPr>
          <w:rFonts w:ascii="Times New Roman" w:hAnsi="Times New Roman"/>
          <w:sz w:val="24"/>
          <w:szCs w:val="24"/>
        </w:rPr>
        <w:t xml:space="preserve"> </w:t>
      </w:r>
      <w:r w:rsidR="00A05682" w:rsidRPr="00473C61">
        <w:rPr>
          <w:rFonts w:ascii="Times New Roman" w:hAnsi="Times New Roman"/>
          <w:sz w:val="24"/>
          <w:szCs w:val="24"/>
        </w:rPr>
        <w:t>households.</w:t>
      </w:r>
      <w:r w:rsidRPr="00473C61">
        <w:rPr>
          <w:rFonts w:ascii="Times New Roman" w:hAnsi="Times New Roman"/>
          <w:sz w:val="24"/>
          <w:szCs w:val="24"/>
        </w:rPr>
        <w:t xml:space="preserve"> Following </w:t>
      </w:r>
      <w:r w:rsidR="00A05682" w:rsidRPr="00473C61">
        <w:rPr>
          <w:rFonts w:ascii="Times New Roman" w:hAnsi="Times New Roman"/>
          <w:sz w:val="24"/>
          <w:szCs w:val="24"/>
        </w:rPr>
        <w:t xml:space="preserve">previous </w:t>
      </w:r>
      <w:r w:rsidR="009803D9" w:rsidRPr="00473C61">
        <w:rPr>
          <w:rFonts w:ascii="Times New Roman" w:hAnsi="Times New Roman"/>
          <w:sz w:val="24"/>
          <w:szCs w:val="24"/>
        </w:rPr>
        <w:t>literature</w:t>
      </w:r>
      <w:r w:rsidR="00A8330F" w:rsidRPr="00473C61">
        <w:rPr>
          <w:rFonts w:ascii="Times New Roman" w:hAnsi="Times New Roman"/>
          <w:sz w:val="24"/>
          <w:szCs w:val="24"/>
        </w:rPr>
        <w:t xml:space="preserve"> on the UK (Kempson and Whyley, 1999; Devlin, 2005)</w:t>
      </w:r>
      <w:r w:rsidR="00995EA5" w:rsidRPr="00473C61">
        <w:rPr>
          <w:rFonts w:ascii="Times New Roman" w:hAnsi="Times New Roman"/>
          <w:sz w:val="24"/>
          <w:szCs w:val="24"/>
        </w:rPr>
        <w:t>,</w:t>
      </w:r>
      <w:r w:rsidRPr="00473C61">
        <w:rPr>
          <w:rFonts w:ascii="Times New Roman" w:hAnsi="Times New Roman"/>
          <w:sz w:val="24"/>
          <w:szCs w:val="24"/>
        </w:rPr>
        <w:t xml:space="preserve"> the household reference person is assumed to be the most influential within the household </w:t>
      </w:r>
      <w:r w:rsidR="00A05682" w:rsidRPr="00473C61">
        <w:rPr>
          <w:rFonts w:ascii="Times New Roman" w:hAnsi="Times New Roman"/>
          <w:sz w:val="24"/>
          <w:szCs w:val="24"/>
        </w:rPr>
        <w:t xml:space="preserve">even though certain responses require that </w:t>
      </w:r>
      <w:r w:rsidRPr="00473C61">
        <w:rPr>
          <w:rFonts w:ascii="Times New Roman" w:hAnsi="Times New Roman"/>
          <w:sz w:val="24"/>
          <w:szCs w:val="24"/>
        </w:rPr>
        <w:t xml:space="preserve">variables are aggregated for all </w:t>
      </w:r>
      <w:r w:rsidR="00BA4D5C" w:rsidRPr="00473C61">
        <w:rPr>
          <w:rFonts w:ascii="Times New Roman" w:hAnsi="Times New Roman"/>
          <w:sz w:val="24"/>
          <w:szCs w:val="24"/>
        </w:rPr>
        <w:t xml:space="preserve">household </w:t>
      </w:r>
      <w:r w:rsidRPr="00473C61">
        <w:rPr>
          <w:rFonts w:ascii="Times New Roman" w:hAnsi="Times New Roman"/>
          <w:sz w:val="24"/>
          <w:szCs w:val="24"/>
        </w:rPr>
        <w:t xml:space="preserve">members. </w:t>
      </w:r>
    </w:p>
    <w:p w:rsidR="005B5C87" w:rsidRPr="00473C61" w:rsidRDefault="005B5C87" w:rsidP="001D6D37">
      <w:pPr>
        <w:spacing w:after="0" w:line="480" w:lineRule="auto"/>
        <w:jc w:val="both"/>
        <w:rPr>
          <w:rFonts w:ascii="Times New Roman" w:hAnsi="Times New Roman"/>
          <w:sz w:val="24"/>
          <w:szCs w:val="24"/>
        </w:rPr>
      </w:pPr>
    </w:p>
    <w:p w:rsidR="005B5C87" w:rsidRPr="00473C61" w:rsidRDefault="00A410B2" w:rsidP="001D6D37">
      <w:pPr>
        <w:numPr>
          <w:ilvl w:val="1"/>
          <w:numId w:val="4"/>
        </w:numPr>
        <w:spacing w:after="0" w:line="480" w:lineRule="auto"/>
        <w:ind w:left="426" w:hanging="426"/>
        <w:jc w:val="both"/>
        <w:rPr>
          <w:rFonts w:ascii="Times New Roman" w:hAnsi="Times New Roman"/>
          <w:i/>
          <w:sz w:val="24"/>
          <w:szCs w:val="24"/>
        </w:rPr>
      </w:pPr>
      <w:r w:rsidRPr="00473C61">
        <w:rPr>
          <w:rFonts w:ascii="Times New Roman" w:hAnsi="Times New Roman"/>
          <w:i/>
          <w:sz w:val="24"/>
          <w:szCs w:val="24"/>
        </w:rPr>
        <w:t>Methodology</w:t>
      </w:r>
    </w:p>
    <w:p w:rsidR="005B5C87" w:rsidRPr="00473C61" w:rsidRDefault="00A410B2" w:rsidP="001D6D37">
      <w:pPr>
        <w:numPr>
          <w:ilvl w:val="2"/>
          <w:numId w:val="4"/>
        </w:numPr>
        <w:spacing w:after="0" w:line="480" w:lineRule="auto"/>
        <w:ind w:left="709" w:hanging="709"/>
        <w:jc w:val="both"/>
        <w:rPr>
          <w:rFonts w:ascii="Times New Roman" w:hAnsi="Times New Roman"/>
          <w:i/>
          <w:sz w:val="24"/>
          <w:szCs w:val="24"/>
        </w:rPr>
      </w:pPr>
      <w:r w:rsidRPr="00473C61">
        <w:rPr>
          <w:rFonts w:ascii="Times New Roman" w:hAnsi="Times New Roman"/>
          <w:i/>
          <w:sz w:val="24"/>
          <w:szCs w:val="24"/>
        </w:rPr>
        <w:t>The baseline model</w:t>
      </w:r>
    </w:p>
    <w:p w:rsidR="005B5C87" w:rsidRPr="00473C61" w:rsidRDefault="005B5C87" w:rsidP="001D6D37">
      <w:pPr>
        <w:spacing w:after="0" w:line="480" w:lineRule="auto"/>
        <w:jc w:val="both"/>
        <w:rPr>
          <w:rFonts w:ascii="Times New Roman" w:hAnsi="Times New Roman"/>
          <w:sz w:val="24"/>
          <w:szCs w:val="24"/>
        </w:rPr>
      </w:pPr>
      <w:r w:rsidRPr="00473C61">
        <w:rPr>
          <w:rFonts w:ascii="Times New Roman" w:hAnsi="Times New Roman"/>
          <w:sz w:val="24"/>
          <w:szCs w:val="24"/>
        </w:rPr>
        <w:t>We u</w:t>
      </w:r>
      <w:r w:rsidR="00BA4D5C" w:rsidRPr="00473C61">
        <w:rPr>
          <w:rFonts w:ascii="Times New Roman" w:hAnsi="Times New Roman"/>
          <w:sz w:val="24"/>
          <w:szCs w:val="24"/>
        </w:rPr>
        <w:t>se</w:t>
      </w:r>
      <w:r w:rsidRPr="00473C61">
        <w:rPr>
          <w:rFonts w:ascii="Times New Roman" w:hAnsi="Times New Roman"/>
          <w:sz w:val="24"/>
          <w:szCs w:val="24"/>
        </w:rPr>
        <w:t xml:space="preserve"> probit estimators to examine the household characteristics that </w:t>
      </w:r>
      <w:r w:rsidR="00AD41E8" w:rsidRPr="00473C61">
        <w:rPr>
          <w:rFonts w:ascii="Times New Roman" w:hAnsi="Times New Roman"/>
          <w:sz w:val="24"/>
          <w:szCs w:val="24"/>
        </w:rPr>
        <w:t>influence access to consumer credit</w:t>
      </w:r>
      <w:r w:rsidRPr="00473C61">
        <w:rPr>
          <w:rFonts w:ascii="Times New Roman" w:hAnsi="Times New Roman"/>
          <w:sz w:val="24"/>
          <w:szCs w:val="24"/>
        </w:rPr>
        <w:t>.  The baseline model is as follows:</w:t>
      </w:r>
    </w:p>
    <w:p w:rsidR="009D10E3" w:rsidRPr="00473C61" w:rsidRDefault="001972E0" w:rsidP="009D10E3">
      <w:pPr>
        <w:spacing w:after="0" w:line="480" w:lineRule="auto"/>
        <w:jc w:val="center"/>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NF</m:t>
            </m:r>
          </m:e>
          <m:sub>
            <m:r>
              <w:rPr>
                <w:rFonts w:ascii="Cambria Math" w:hAnsi="Cambria Math"/>
                <w:sz w:val="24"/>
                <w:szCs w:val="24"/>
              </w:rPr>
              <m:t>i</m:t>
            </m:r>
          </m:sub>
        </m:sSub>
        <m:r>
          <w:rPr>
            <w:rFonts w:ascii="Cambria Math" w:hAnsi="Times New Roman"/>
            <w:sz w:val="24"/>
            <w:szCs w:val="24"/>
          </w:rPr>
          <m:t xml:space="preserve">= </m:t>
        </m:r>
        <m:r>
          <w:rPr>
            <w:rFonts w:ascii="Cambria Math" w:hAnsi="Cambria Math"/>
            <w:sz w:val="24"/>
            <w:szCs w:val="24"/>
          </w:rPr>
          <m:t>β</m:t>
        </m:r>
        <m:sSub>
          <m:sSubPr>
            <m:ctrlPr>
              <w:rPr>
                <w:rFonts w:ascii="Cambria Math" w:hAnsi="Times New Roman"/>
                <w:i/>
                <w:sz w:val="24"/>
                <w:szCs w:val="24"/>
              </w:rPr>
            </m:ctrlPr>
          </m:sSubPr>
          <m:e>
            <m:r>
              <w:rPr>
                <w:rFonts w:ascii="Cambria Math" w:hAnsi="Cambria Math"/>
                <w:sz w:val="24"/>
                <w:szCs w:val="24"/>
              </w:rPr>
              <m:t>H</m:t>
            </m:r>
          </m:e>
          <m:sub>
            <m:r>
              <w:rPr>
                <w:rFonts w:ascii="Cambria Math" w:hAnsi="Cambria Math"/>
                <w:sz w:val="24"/>
                <w:szCs w:val="24"/>
              </w:rPr>
              <m:t>i</m:t>
            </m:r>
          </m:sub>
        </m:sSub>
        <m:r>
          <w:rPr>
            <w:rFonts w:ascii="Cambria Math" w:hAnsi="Times New Roman"/>
            <w:sz w:val="24"/>
            <w:szCs w:val="24"/>
          </w:rPr>
          <m:t>+</m:t>
        </m:r>
        <m:r>
          <w:rPr>
            <w:rFonts w:ascii="Cambria Math" w:hAnsi="Cambria Math"/>
            <w:sz w:val="24"/>
            <w:szCs w:val="24"/>
          </w:rPr>
          <m:t>δ</m:t>
        </m:r>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i</m:t>
            </m:r>
          </m:sub>
        </m:sSub>
        <m:r>
          <w:rPr>
            <w:rFonts w:ascii="Cambria Math" w:hAnsi="Times New Roman"/>
            <w:sz w:val="24"/>
            <w:szCs w:val="24"/>
          </w:rPr>
          <m:t>+</m:t>
        </m:r>
        <m:r>
          <w:rPr>
            <w:rFonts w:ascii="Cambria Math" w:hAnsi="Cambria Math"/>
            <w:sz w:val="24"/>
            <w:szCs w:val="24"/>
          </w:rPr>
          <m:t>γ</m:t>
        </m:r>
        <m:sSub>
          <m:sSubPr>
            <m:ctrlPr>
              <w:rPr>
                <w:rFonts w:ascii="Cambria Math" w:hAnsi="Times New Roman"/>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ε</m:t>
            </m:r>
          </m:e>
          <m:sub>
            <m:r>
              <w:rPr>
                <w:rFonts w:ascii="Cambria Math" w:hAnsi="Cambria Math"/>
                <w:sz w:val="24"/>
                <w:szCs w:val="24"/>
              </w:rPr>
              <m:t>i</m:t>
            </m:r>
          </m:sub>
        </m:sSub>
      </m:oMath>
      <w:r w:rsidR="00FB351E" w:rsidRPr="00473C61">
        <w:rPr>
          <w:rFonts w:ascii="Times New Roman" w:hAnsi="Times New Roman"/>
          <w:sz w:val="24"/>
          <w:szCs w:val="24"/>
        </w:rPr>
        <w:t xml:space="preserve">     </w:t>
      </w:r>
      <w:r w:rsidR="009D10E3" w:rsidRPr="00473C61">
        <w:rPr>
          <w:rFonts w:ascii="Times New Roman" w:hAnsi="Times New Roman"/>
          <w:sz w:val="24"/>
          <w:szCs w:val="24"/>
        </w:rPr>
        <w:t>(1)</w:t>
      </w:r>
    </w:p>
    <w:p w:rsidR="005B5C87" w:rsidRPr="00473C61" w:rsidRDefault="008F7670" w:rsidP="001D6D37">
      <w:pPr>
        <w:spacing w:after="0" w:line="480" w:lineRule="auto"/>
        <w:jc w:val="both"/>
        <w:rPr>
          <w:rFonts w:ascii="Times New Roman" w:hAnsi="Times New Roman"/>
          <w:sz w:val="24"/>
          <w:szCs w:val="24"/>
        </w:rPr>
      </w:pPr>
      <w:r w:rsidRPr="00473C61">
        <w:rPr>
          <w:rFonts w:ascii="Times New Roman" w:hAnsi="Times New Roman"/>
          <w:sz w:val="24"/>
          <w:szCs w:val="24"/>
        </w:rPr>
        <w:t>W</w:t>
      </w:r>
      <w:r w:rsidR="005B5C87" w:rsidRPr="00473C61">
        <w:rPr>
          <w:rFonts w:ascii="Times New Roman" w:hAnsi="Times New Roman"/>
          <w:sz w:val="24"/>
          <w:szCs w:val="24"/>
        </w:rPr>
        <w:t>here</w:t>
      </w:r>
      <w:r w:rsidRPr="00473C61">
        <w:rPr>
          <w:rFonts w:ascii="Times New Roman" w:hAnsi="Times New Roman"/>
          <w:sz w:val="24"/>
          <w:szCs w:val="24"/>
        </w:rPr>
        <w:t>:</w:t>
      </w:r>
    </w:p>
    <w:p w:rsidR="00582CF3" w:rsidRPr="00473C61" w:rsidRDefault="009E75A4" w:rsidP="00582CF3">
      <w:pPr>
        <w:spacing w:after="0" w:line="480" w:lineRule="auto"/>
        <w:jc w:val="both"/>
        <w:rPr>
          <w:rFonts w:ascii="Times New Roman" w:hAnsi="Times New Roman"/>
          <w:sz w:val="24"/>
          <w:szCs w:val="24"/>
        </w:rPr>
      </w:pPr>
      <w:r w:rsidRPr="00473C61">
        <w:rPr>
          <w:rFonts w:ascii="Times New Roman" w:hAnsi="Times New Roman"/>
          <w:i/>
          <w:sz w:val="24"/>
          <w:szCs w:val="24"/>
        </w:rPr>
        <w:t>N</w:t>
      </w:r>
      <w:r w:rsidR="00C80D86" w:rsidRPr="00473C61">
        <w:rPr>
          <w:rFonts w:ascii="Times New Roman" w:hAnsi="Times New Roman"/>
          <w:i/>
          <w:sz w:val="24"/>
          <w:szCs w:val="24"/>
        </w:rPr>
        <w:t>F</w:t>
      </w:r>
      <w:r w:rsidR="00C80D86" w:rsidRPr="00473C61">
        <w:rPr>
          <w:rFonts w:ascii="Times New Roman" w:hAnsi="Times New Roman"/>
          <w:i/>
          <w:sz w:val="24"/>
          <w:szCs w:val="24"/>
          <w:vertAlign w:val="subscript"/>
        </w:rPr>
        <w:t>i</w:t>
      </w:r>
      <w:r w:rsidR="00C80D86" w:rsidRPr="00473C61">
        <w:rPr>
          <w:rFonts w:ascii="Times New Roman" w:hAnsi="Times New Roman"/>
          <w:i/>
          <w:sz w:val="24"/>
          <w:szCs w:val="24"/>
        </w:rPr>
        <w:t xml:space="preserve"> </w:t>
      </w:r>
      <w:r w:rsidR="00B65615" w:rsidRPr="00473C61">
        <w:rPr>
          <w:rFonts w:ascii="Times New Roman" w:hAnsi="Times New Roman"/>
          <w:i/>
          <w:sz w:val="24"/>
          <w:szCs w:val="24"/>
        </w:rPr>
        <w:t>is</w:t>
      </w:r>
      <w:r w:rsidR="005B5C87" w:rsidRPr="00473C61">
        <w:rPr>
          <w:rFonts w:ascii="Times New Roman" w:hAnsi="Times New Roman"/>
          <w:sz w:val="24"/>
          <w:szCs w:val="24"/>
        </w:rPr>
        <w:t xml:space="preserve"> </w:t>
      </w:r>
      <w:r w:rsidR="00892DB7" w:rsidRPr="00473C61">
        <w:rPr>
          <w:rFonts w:ascii="Times New Roman" w:hAnsi="Times New Roman"/>
          <w:sz w:val="24"/>
          <w:szCs w:val="24"/>
        </w:rPr>
        <w:t xml:space="preserve">a </w:t>
      </w:r>
      <w:r w:rsidR="005B5C87" w:rsidRPr="00473C61">
        <w:rPr>
          <w:rFonts w:ascii="Times New Roman" w:hAnsi="Times New Roman"/>
          <w:sz w:val="24"/>
          <w:szCs w:val="24"/>
        </w:rPr>
        <w:t>binary dependent variable</w:t>
      </w:r>
      <w:r w:rsidR="00DB084C" w:rsidRPr="00473C61">
        <w:rPr>
          <w:rFonts w:ascii="Times New Roman" w:hAnsi="Times New Roman"/>
          <w:sz w:val="24"/>
          <w:szCs w:val="24"/>
        </w:rPr>
        <w:t xml:space="preserve">, </w:t>
      </w:r>
      <w:r w:rsidR="00CE55DA" w:rsidRPr="00473C61">
        <w:rPr>
          <w:rFonts w:ascii="Times New Roman" w:hAnsi="Times New Roman"/>
          <w:i/>
          <w:sz w:val="24"/>
          <w:szCs w:val="24"/>
        </w:rPr>
        <w:t>NoF</w:t>
      </w:r>
      <w:r w:rsidR="00DB084C" w:rsidRPr="00473C61">
        <w:rPr>
          <w:rFonts w:ascii="Times New Roman" w:hAnsi="Times New Roman"/>
          <w:i/>
          <w:sz w:val="24"/>
          <w:szCs w:val="24"/>
        </w:rPr>
        <w:t>inancing</w:t>
      </w:r>
      <w:r w:rsidR="00DB084C" w:rsidRPr="00473C61">
        <w:rPr>
          <w:rFonts w:ascii="Times New Roman" w:hAnsi="Times New Roman"/>
          <w:sz w:val="24"/>
          <w:szCs w:val="24"/>
        </w:rPr>
        <w:t>,</w:t>
      </w:r>
      <w:r w:rsidR="00892DB7" w:rsidRPr="00473C61">
        <w:rPr>
          <w:rFonts w:ascii="Times New Roman" w:hAnsi="Times New Roman"/>
          <w:sz w:val="24"/>
          <w:szCs w:val="24"/>
        </w:rPr>
        <w:t xml:space="preserve"> indicating household</w:t>
      </w:r>
      <w:r w:rsidR="00C80D86" w:rsidRPr="00473C61">
        <w:rPr>
          <w:rFonts w:ascii="Times New Roman" w:hAnsi="Times New Roman"/>
          <w:sz w:val="24"/>
          <w:szCs w:val="24"/>
        </w:rPr>
        <w:t xml:space="preserve"> </w:t>
      </w:r>
      <w:r w:rsidR="00C80D86" w:rsidRPr="00473C61">
        <w:rPr>
          <w:rFonts w:ascii="Times New Roman" w:hAnsi="Times New Roman"/>
          <w:i/>
          <w:sz w:val="24"/>
          <w:szCs w:val="24"/>
        </w:rPr>
        <w:t>i</w:t>
      </w:r>
      <w:r w:rsidR="00C80D86" w:rsidRPr="00473C61">
        <w:rPr>
          <w:rFonts w:ascii="Times New Roman" w:hAnsi="Times New Roman"/>
          <w:sz w:val="24"/>
          <w:szCs w:val="24"/>
        </w:rPr>
        <w:t>’s</w:t>
      </w:r>
      <w:r w:rsidR="00892DB7" w:rsidRPr="00473C61">
        <w:rPr>
          <w:rFonts w:ascii="Times New Roman" w:hAnsi="Times New Roman"/>
          <w:sz w:val="24"/>
          <w:szCs w:val="24"/>
        </w:rPr>
        <w:t xml:space="preserve"> access to</w:t>
      </w:r>
      <w:r w:rsidR="00B65615" w:rsidRPr="00473C61">
        <w:rPr>
          <w:rFonts w:ascii="Times New Roman" w:hAnsi="Times New Roman"/>
          <w:sz w:val="24"/>
          <w:szCs w:val="24"/>
        </w:rPr>
        <w:t xml:space="preserve"> finance in the form of </w:t>
      </w:r>
      <w:r w:rsidR="00892DB7" w:rsidRPr="00473C61">
        <w:rPr>
          <w:rFonts w:ascii="Times New Roman" w:hAnsi="Times New Roman"/>
          <w:sz w:val="24"/>
          <w:szCs w:val="24"/>
        </w:rPr>
        <w:t>consumer credit</w:t>
      </w:r>
      <w:r w:rsidR="005B5C87" w:rsidRPr="00473C61">
        <w:rPr>
          <w:rFonts w:ascii="Times New Roman" w:hAnsi="Times New Roman"/>
          <w:sz w:val="24"/>
          <w:szCs w:val="24"/>
        </w:rPr>
        <w:t xml:space="preserve">.  </w:t>
      </w:r>
      <w:r w:rsidR="00CB6935" w:rsidRPr="00473C61">
        <w:rPr>
          <w:rFonts w:ascii="Times New Roman" w:hAnsi="Times New Roman"/>
          <w:sz w:val="24"/>
          <w:szCs w:val="24"/>
        </w:rPr>
        <w:t>Consumer credit is defined as having a consumer loan or a credit card from a financial inte</w:t>
      </w:r>
      <w:r w:rsidR="00A90FFE" w:rsidRPr="00473C61">
        <w:rPr>
          <w:rFonts w:ascii="Times New Roman" w:hAnsi="Times New Roman"/>
          <w:sz w:val="24"/>
          <w:szCs w:val="24"/>
        </w:rPr>
        <w:t>rmediary or similar institution</w:t>
      </w:r>
      <w:r w:rsidR="00CB6935" w:rsidRPr="00473C61">
        <w:rPr>
          <w:rFonts w:ascii="Times New Roman" w:hAnsi="Times New Roman"/>
          <w:sz w:val="24"/>
          <w:szCs w:val="24"/>
        </w:rPr>
        <w:t xml:space="preserve"> </w:t>
      </w:r>
      <w:r w:rsidR="00B45962" w:rsidRPr="00473C61">
        <w:rPr>
          <w:rFonts w:ascii="Times New Roman" w:hAnsi="Times New Roman"/>
          <w:sz w:val="24"/>
          <w:szCs w:val="24"/>
        </w:rPr>
        <w:t>(</w:t>
      </w:r>
      <w:r w:rsidR="00CB6935" w:rsidRPr="00473C61">
        <w:rPr>
          <w:rFonts w:ascii="Times New Roman" w:hAnsi="Times New Roman"/>
          <w:sz w:val="24"/>
          <w:szCs w:val="24"/>
        </w:rPr>
        <w:t>This definition does not comprise mortgages</w:t>
      </w:r>
      <w:r w:rsidR="00B45962" w:rsidRPr="00473C61">
        <w:rPr>
          <w:rFonts w:ascii="Times New Roman" w:hAnsi="Times New Roman"/>
          <w:sz w:val="24"/>
          <w:szCs w:val="24"/>
        </w:rPr>
        <w:t xml:space="preserve"> or other secured loans)</w:t>
      </w:r>
      <w:r w:rsidR="00CB6935" w:rsidRPr="00473C61">
        <w:rPr>
          <w:rFonts w:ascii="Times New Roman" w:hAnsi="Times New Roman"/>
          <w:sz w:val="24"/>
          <w:szCs w:val="24"/>
        </w:rPr>
        <w:t xml:space="preserve">. </w:t>
      </w:r>
      <w:r w:rsidR="00892DB7" w:rsidRPr="00473C61">
        <w:rPr>
          <w:rFonts w:ascii="Times New Roman" w:hAnsi="Times New Roman"/>
          <w:sz w:val="24"/>
          <w:szCs w:val="24"/>
        </w:rPr>
        <w:t>A household is said to have a</w:t>
      </w:r>
      <w:r w:rsidR="00C80D86" w:rsidRPr="00473C61">
        <w:rPr>
          <w:rFonts w:ascii="Times New Roman" w:hAnsi="Times New Roman"/>
          <w:sz w:val="24"/>
          <w:szCs w:val="24"/>
        </w:rPr>
        <w:t xml:space="preserve">ccess to </w:t>
      </w:r>
      <w:r w:rsidR="00951590" w:rsidRPr="00473C61">
        <w:rPr>
          <w:rFonts w:ascii="Times New Roman" w:hAnsi="Times New Roman"/>
          <w:sz w:val="24"/>
          <w:szCs w:val="24"/>
        </w:rPr>
        <w:t>finance</w:t>
      </w:r>
      <w:r w:rsidR="00C80D86" w:rsidRPr="00473C61">
        <w:rPr>
          <w:rFonts w:ascii="Times New Roman" w:hAnsi="Times New Roman"/>
          <w:sz w:val="24"/>
          <w:szCs w:val="24"/>
        </w:rPr>
        <w:t xml:space="preserve"> when they are paying off a loan or</w:t>
      </w:r>
      <w:r w:rsidR="00892DB7" w:rsidRPr="00473C61">
        <w:rPr>
          <w:rFonts w:ascii="Times New Roman" w:hAnsi="Times New Roman"/>
          <w:sz w:val="24"/>
          <w:szCs w:val="24"/>
        </w:rPr>
        <w:t xml:space="preserve"> have a credit card (</w:t>
      </w:r>
      <w:r w:rsidR="005B5C87" w:rsidRPr="00473C61">
        <w:rPr>
          <w:rFonts w:ascii="Times New Roman" w:hAnsi="Times New Roman"/>
          <w:sz w:val="24"/>
          <w:szCs w:val="24"/>
        </w:rPr>
        <w:t>Simpson and Buckland</w:t>
      </w:r>
      <w:r w:rsidR="00892DB7" w:rsidRPr="00473C61">
        <w:rPr>
          <w:rFonts w:ascii="Times New Roman" w:hAnsi="Times New Roman"/>
          <w:sz w:val="24"/>
          <w:szCs w:val="24"/>
        </w:rPr>
        <w:t xml:space="preserve">, </w:t>
      </w:r>
      <w:r w:rsidR="005B5C87" w:rsidRPr="00473C61">
        <w:rPr>
          <w:rFonts w:ascii="Times New Roman" w:hAnsi="Times New Roman"/>
          <w:sz w:val="24"/>
          <w:szCs w:val="24"/>
        </w:rPr>
        <w:t xml:space="preserve">2009). Hence </w:t>
      </w:r>
      <w:r w:rsidR="00CE55DA" w:rsidRPr="00473C61">
        <w:rPr>
          <w:rFonts w:ascii="Times New Roman" w:hAnsi="Times New Roman"/>
          <w:i/>
          <w:sz w:val="24"/>
          <w:szCs w:val="24"/>
        </w:rPr>
        <w:t>NoF</w:t>
      </w:r>
      <w:r w:rsidR="00C80D86" w:rsidRPr="00473C61">
        <w:rPr>
          <w:rFonts w:ascii="Times New Roman" w:hAnsi="Times New Roman"/>
          <w:i/>
          <w:sz w:val="24"/>
          <w:szCs w:val="24"/>
        </w:rPr>
        <w:t>inanc</w:t>
      </w:r>
      <w:r w:rsidR="00951590" w:rsidRPr="00473C61">
        <w:rPr>
          <w:rFonts w:ascii="Times New Roman" w:hAnsi="Times New Roman"/>
          <w:i/>
          <w:sz w:val="24"/>
          <w:szCs w:val="24"/>
        </w:rPr>
        <w:t>ing</w:t>
      </w:r>
      <w:r w:rsidR="005B5C87" w:rsidRPr="00473C61">
        <w:rPr>
          <w:rFonts w:ascii="Times New Roman" w:hAnsi="Times New Roman"/>
          <w:i/>
          <w:sz w:val="24"/>
          <w:szCs w:val="24"/>
        </w:rPr>
        <w:t xml:space="preserve"> </w:t>
      </w:r>
      <w:r w:rsidR="00AD00C5" w:rsidRPr="00473C61">
        <w:rPr>
          <w:rFonts w:ascii="Times New Roman" w:hAnsi="Times New Roman"/>
          <w:sz w:val="24"/>
          <w:szCs w:val="24"/>
        </w:rPr>
        <w:t>takes the value of 1 if the household does not have a loan or a credit card and 0 otherwise.</w:t>
      </w:r>
      <w:r w:rsidR="00CB6935" w:rsidRPr="00473C61">
        <w:rPr>
          <w:rFonts w:ascii="Times New Roman" w:hAnsi="Times New Roman"/>
          <w:sz w:val="24"/>
          <w:szCs w:val="24"/>
        </w:rPr>
        <w:t xml:space="preserve">  </w:t>
      </w:r>
    </w:p>
    <w:p w:rsidR="00582CF3" w:rsidRPr="00473C61" w:rsidRDefault="00582CF3" w:rsidP="00582CF3">
      <w:pPr>
        <w:spacing w:after="0" w:line="480" w:lineRule="auto"/>
        <w:jc w:val="both"/>
        <w:rPr>
          <w:rFonts w:ascii="Times New Roman" w:hAnsi="Times New Roman"/>
          <w:sz w:val="24"/>
          <w:szCs w:val="24"/>
        </w:rPr>
      </w:pPr>
    </w:p>
    <w:p w:rsidR="005B5C87" w:rsidRPr="00473C61" w:rsidRDefault="00582CF3" w:rsidP="00582CF3">
      <w:pPr>
        <w:spacing w:after="0" w:line="480" w:lineRule="auto"/>
        <w:jc w:val="both"/>
        <w:rPr>
          <w:rFonts w:ascii="Times New Roman" w:hAnsi="Times New Roman"/>
          <w:sz w:val="24"/>
          <w:szCs w:val="24"/>
        </w:rPr>
      </w:pPr>
      <w:r w:rsidRPr="00473C61">
        <w:rPr>
          <w:rFonts w:ascii="Times New Roman" w:hAnsi="Times New Roman"/>
          <w:sz w:val="24"/>
          <w:szCs w:val="24"/>
        </w:rPr>
        <w:t>H</w:t>
      </w:r>
      <w:r w:rsidRPr="00473C61">
        <w:rPr>
          <w:rFonts w:ascii="Times New Roman" w:hAnsi="Times New Roman"/>
          <w:i/>
          <w:sz w:val="24"/>
          <w:szCs w:val="24"/>
          <w:vertAlign w:val="subscript"/>
        </w:rPr>
        <w:t>i</w:t>
      </w:r>
      <w:r w:rsidRPr="00473C61">
        <w:rPr>
          <w:rFonts w:ascii="Times New Roman" w:hAnsi="Times New Roman"/>
          <w:sz w:val="24"/>
          <w:szCs w:val="24"/>
        </w:rPr>
        <w:t xml:space="preserve"> is a vector of </w:t>
      </w:r>
      <w:r w:rsidR="008F7670" w:rsidRPr="00473C61">
        <w:rPr>
          <w:rFonts w:ascii="Times New Roman" w:hAnsi="Times New Roman"/>
          <w:sz w:val="24"/>
          <w:szCs w:val="24"/>
        </w:rPr>
        <w:t xml:space="preserve">the head of the </w:t>
      </w:r>
      <w:r w:rsidR="00073F56" w:rsidRPr="00473C61">
        <w:rPr>
          <w:rFonts w:ascii="Times New Roman" w:hAnsi="Times New Roman"/>
          <w:sz w:val="24"/>
          <w:szCs w:val="24"/>
        </w:rPr>
        <w:t>household and</w:t>
      </w:r>
      <w:r w:rsidRPr="00473C61">
        <w:rPr>
          <w:rFonts w:ascii="Times New Roman" w:hAnsi="Times New Roman"/>
          <w:sz w:val="24"/>
          <w:szCs w:val="24"/>
        </w:rPr>
        <w:t xml:space="preserve"> </w:t>
      </w:r>
      <w:r w:rsidR="008F7670" w:rsidRPr="00473C61">
        <w:rPr>
          <w:rFonts w:ascii="Times New Roman" w:hAnsi="Times New Roman"/>
          <w:sz w:val="24"/>
          <w:szCs w:val="24"/>
        </w:rPr>
        <w:t xml:space="preserve">other </w:t>
      </w:r>
      <w:r w:rsidR="00073F56" w:rsidRPr="00473C61">
        <w:rPr>
          <w:rFonts w:ascii="Times New Roman" w:hAnsi="Times New Roman"/>
          <w:sz w:val="24"/>
          <w:szCs w:val="24"/>
        </w:rPr>
        <w:t>household characteristics</w:t>
      </w:r>
      <w:r w:rsidRPr="00473C61">
        <w:rPr>
          <w:rFonts w:ascii="Times New Roman" w:hAnsi="Times New Roman"/>
          <w:sz w:val="24"/>
          <w:szCs w:val="24"/>
        </w:rPr>
        <w:t xml:space="preserve">.  The variables, explained below, are </w:t>
      </w:r>
      <w:r w:rsidR="005B5C87" w:rsidRPr="00473C61">
        <w:rPr>
          <w:rFonts w:ascii="Times New Roman" w:hAnsi="Times New Roman"/>
          <w:sz w:val="24"/>
          <w:szCs w:val="24"/>
        </w:rPr>
        <w:t xml:space="preserve">mainly drawn from earlier studies </w:t>
      </w:r>
      <w:r w:rsidR="00BA4D5C" w:rsidRPr="00473C61">
        <w:rPr>
          <w:rFonts w:ascii="Times New Roman" w:hAnsi="Times New Roman"/>
          <w:sz w:val="24"/>
          <w:szCs w:val="24"/>
        </w:rPr>
        <w:t xml:space="preserve">on discrimination </w:t>
      </w:r>
      <w:r w:rsidR="002A66D3" w:rsidRPr="00473C61">
        <w:rPr>
          <w:rFonts w:ascii="Times New Roman" w:hAnsi="Times New Roman"/>
          <w:sz w:val="24"/>
          <w:szCs w:val="24"/>
        </w:rPr>
        <w:t>(</w:t>
      </w:r>
      <w:r w:rsidR="005B5C87" w:rsidRPr="00473C61">
        <w:rPr>
          <w:rFonts w:ascii="Times New Roman" w:hAnsi="Times New Roman"/>
          <w:sz w:val="24"/>
          <w:szCs w:val="24"/>
        </w:rPr>
        <w:t xml:space="preserve">such as </w:t>
      </w:r>
      <w:r w:rsidR="002A66D3" w:rsidRPr="00473C61">
        <w:rPr>
          <w:rFonts w:ascii="Times New Roman" w:eastAsiaTheme="minorEastAsia" w:hAnsi="Times New Roman"/>
          <w:sz w:val="24"/>
          <w:szCs w:val="24"/>
          <w:lang w:val="en-GB" w:eastAsia="en-GB"/>
        </w:rPr>
        <w:t xml:space="preserve">Duca and Rosenthal, 1993; Munnell </w:t>
      </w:r>
      <w:r w:rsidR="00002409" w:rsidRPr="00473C61">
        <w:rPr>
          <w:rFonts w:ascii="Times New Roman" w:eastAsiaTheme="minorEastAsia" w:hAnsi="Times New Roman"/>
          <w:sz w:val="24"/>
          <w:szCs w:val="24"/>
          <w:lang w:val="en-GB" w:eastAsia="en-GB"/>
        </w:rPr>
        <w:t>et al.</w:t>
      </w:r>
      <w:r w:rsidR="002A66D3" w:rsidRPr="00473C61">
        <w:rPr>
          <w:rFonts w:ascii="Times New Roman" w:eastAsiaTheme="minorEastAsia" w:hAnsi="Times New Roman"/>
          <w:sz w:val="24"/>
          <w:szCs w:val="24"/>
          <w:lang w:val="en-GB" w:eastAsia="en-GB"/>
        </w:rPr>
        <w:t>, 1996; Goldberg, 1996; Tootell, 1996</w:t>
      </w:r>
      <w:r w:rsidR="00456EA7" w:rsidRPr="00473C61">
        <w:rPr>
          <w:rFonts w:ascii="Times New Roman" w:eastAsiaTheme="minorEastAsia" w:hAnsi="Times New Roman"/>
          <w:sz w:val="24"/>
          <w:szCs w:val="24"/>
          <w:lang w:val="en-GB" w:eastAsia="en-GB"/>
        </w:rPr>
        <w:t>;</w:t>
      </w:r>
      <w:r w:rsidR="002A66D3" w:rsidRPr="00473C61">
        <w:rPr>
          <w:rFonts w:ascii="Times New Roman" w:eastAsiaTheme="minorEastAsia" w:hAnsi="Times New Roman"/>
          <w:sz w:val="24"/>
          <w:szCs w:val="24"/>
          <w:lang w:val="en-GB" w:eastAsia="en-GB"/>
        </w:rPr>
        <w:t xml:space="preserve"> Han, 2011) and financial exclusion (such as </w:t>
      </w:r>
      <w:r w:rsidR="002A66D3" w:rsidRPr="00473C61">
        <w:rPr>
          <w:rFonts w:ascii="Times New Roman" w:hAnsi="Times New Roman"/>
          <w:sz w:val="24"/>
          <w:szCs w:val="24"/>
        </w:rPr>
        <w:t xml:space="preserve">Kempson and Whyley, 1999; Finney and Kempson, 2009; Devlin, 2005; </w:t>
      </w:r>
      <w:r w:rsidR="002065BD" w:rsidRPr="00473C61">
        <w:rPr>
          <w:rFonts w:ascii="Times New Roman" w:hAnsi="Times New Roman"/>
          <w:sz w:val="24"/>
          <w:szCs w:val="24"/>
        </w:rPr>
        <w:t>Hogarth and O’Donnell</w:t>
      </w:r>
      <w:r w:rsidR="002A66D3" w:rsidRPr="00473C61">
        <w:rPr>
          <w:rFonts w:ascii="Times New Roman" w:hAnsi="Times New Roman"/>
          <w:sz w:val="24"/>
          <w:szCs w:val="24"/>
        </w:rPr>
        <w:t>, 2000)</w:t>
      </w:r>
      <w:r w:rsidRPr="00473C61">
        <w:rPr>
          <w:rFonts w:ascii="Times New Roman" w:hAnsi="Times New Roman"/>
          <w:sz w:val="24"/>
          <w:szCs w:val="24"/>
        </w:rPr>
        <w:t xml:space="preserve">.   </w:t>
      </w:r>
    </w:p>
    <w:p w:rsidR="005B5C87" w:rsidRPr="00473C61" w:rsidRDefault="005B5C87" w:rsidP="001D6D37">
      <w:pPr>
        <w:spacing w:after="0" w:line="480" w:lineRule="auto"/>
        <w:jc w:val="both"/>
        <w:rPr>
          <w:rFonts w:ascii="Times New Roman" w:hAnsi="Times New Roman"/>
          <w:sz w:val="24"/>
          <w:szCs w:val="24"/>
        </w:rPr>
      </w:pPr>
    </w:p>
    <w:p w:rsidR="005E0635" w:rsidRPr="00473C61" w:rsidRDefault="005E0635" w:rsidP="00E23E75">
      <w:pPr>
        <w:spacing w:after="0" w:line="480" w:lineRule="auto"/>
        <w:jc w:val="both"/>
        <w:rPr>
          <w:rFonts w:ascii="Times New Roman" w:hAnsi="Times New Roman"/>
          <w:sz w:val="24"/>
          <w:szCs w:val="24"/>
        </w:rPr>
      </w:pPr>
      <w:r w:rsidRPr="00473C61">
        <w:rPr>
          <w:rFonts w:ascii="Times New Roman" w:hAnsi="Times New Roman"/>
          <w:sz w:val="24"/>
          <w:szCs w:val="24"/>
        </w:rPr>
        <w:t xml:space="preserve">Explanatory variables relating to the household’s head are non-white, age, employment, </w:t>
      </w:r>
      <w:r w:rsidR="00A8330F" w:rsidRPr="00473C61">
        <w:rPr>
          <w:rFonts w:ascii="Times New Roman" w:hAnsi="Times New Roman"/>
          <w:sz w:val="24"/>
          <w:szCs w:val="24"/>
        </w:rPr>
        <w:t xml:space="preserve">occupational classification, </w:t>
      </w:r>
      <w:r w:rsidRPr="00473C61">
        <w:rPr>
          <w:rFonts w:ascii="Times New Roman" w:hAnsi="Times New Roman"/>
          <w:sz w:val="24"/>
          <w:szCs w:val="24"/>
        </w:rPr>
        <w:t xml:space="preserve">education, gender and marital status.  </w:t>
      </w:r>
      <w:r w:rsidR="00582CF3" w:rsidRPr="00473C61">
        <w:rPr>
          <w:rFonts w:ascii="Times New Roman" w:hAnsi="Times New Roman"/>
          <w:sz w:val="24"/>
          <w:szCs w:val="24"/>
        </w:rPr>
        <w:t xml:space="preserve">The variable </w:t>
      </w:r>
      <w:r w:rsidR="00582CF3" w:rsidRPr="00473C61">
        <w:rPr>
          <w:rFonts w:ascii="Times New Roman" w:hAnsi="Times New Roman"/>
          <w:i/>
          <w:sz w:val="24"/>
          <w:szCs w:val="24"/>
        </w:rPr>
        <w:t>non-white</w:t>
      </w:r>
      <w:r w:rsidR="00582CF3" w:rsidRPr="00473C61">
        <w:rPr>
          <w:rFonts w:ascii="Times New Roman" w:hAnsi="Times New Roman"/>
          <w:sz w:val="24"/>
          <w:szCs w:val="24"/>
        </w:rPr>
        <w:t xml:space="preserve"> takes the value of 1 if the household’s head is of a racial origin other than white and 0 otherwise.  </w:t>
      </w:r>
      <w:r w:rsidR="005B5C87" w:rsidRPr="00473C61">
        <w:rPr>
          <w:rFonts w:ascii="Times New Roman" w:hAnsi="Times New Roman"/>
          <w:i/>
          <w:sz w:val="24"/>
          <w:szCs w:val="24"/>
        </w:rPr>
        <w:t xml:space="preserve">Age </w:t>
      </w:r>
      <w:r w:rsidR="005B5C87" w:rsidRPr="00473C61">
        <w:rPr>
          <w:rFonts w:ascii="Times New Roman" w:hAnsi="Times New Roman"/>
          <w:sz w:val="24"/>
          <w:szCs w:val="24"/>
        </w:rPr>
        <w:t>represents</w:t>
      </w:r>
      <w:r w:rsidRPr="00473C61">
        <w:rPr>
          <w:rFonts w:ascii="Times New Roman" w:hAnsi="Times New Roman"/>
          <w:sz w:val="24"/>
          <w:szCs w:val="24"/>
        </w:rPr>
        <w:t xml:space="preserve"> the age of the household head.  </w:t>
      </w:r>
      <w:r w:rsidR="00CE55DA" w:rsidRPr="00473C61">
        <w:rPr>
          <w:rFonts w:ascii="Times New Roman" w:hAnsi="Times New Roman"/>
          <w:sz w:val="24"/>
          <w:szCs w:val="24"/>
        </w:rPr>
        <w:t>In line with previous studies, w</w:t>
      </w:r>
      <w:r w:rsidRPr="00473C61">
        <w:rPr>
          <w:rFonts w:ascii="Times New Roman" w:hAnsi="Times New Roman"/>
          <w:sz w:val="24"/>
          <w:szCs w:val="24"/>
        </w:rPr>
        <w:t>e</w:t>
      </w:r>
      <w:r w:rsidR="0059237A" w:rsidRPr="00473C61">
        <w:rPr>
          <w:rFonts w:ascii="Times New Roman" w:hAnsi="Times New Roman"/>
          <w:sz w:val="24"/>
          <w:szCs w:val="24"/>
        </w:rPr>
        <w:t xml:space="preserve"> categoris</w:t>
      </w:r>
      <w:r w:rsidR="005B5C87" w:rsidRPr="00473C61">
        <w:rPr>
          <w:rFonts w:ascii="Times New Roman" w:hAnsi="Times New Roman"/>
          <w:sz w:val="24"/>
          <w:szCs w:val="24"/>
        </w:rPr>
        <w:t xml:space="preserve">e </w:t>
      </w:r>
      <w:r w:rsidRPr="00473C61">
        <w:rPr>
          <w:rFonts w:ascii="Times New Roman" w:hAnsi="Times New Roman"/>
          <w:i/>
          <w:sz w:val="24"/>
          <w:szCs w:val="24"/>
        </w:rPr>
        <w:t>age</w:t>
      </w:r>
      <w:r w:rsidRPr="00473C61">
        <w:rPr>
          <w:rFonts w:ascii="Times New Roman" w:hAnsi="Times New Roman"/>
          <w:sz w:val="24"/>
          <w:szCs w:val="24"/>
        </w:rPr>
        <w:t xml:space="preserve"> </w:t>
      </w:r>
      <w:r w:rsidR="005B5C87" w:rsidRPr="00473C61">
        <w:rPr>
          <w:rFonts w:ascii="Times New Roman" w:hAnsi="Times New Roman"/>
          <w:sz w:val="24"/>
          <w:szCs w:val="24"/>
        </w:rPr>
        <w:t xml:space="preserve">into ten year bands prior to the creation of relevant indicator variables for each of the bands ranging from 16 to 65+. </w:t>
      </w:r>
      <w:r w:rsidRPr="00473C61">
        <w:rPr>
          <w:rFonts w:ascii="Times New Roman" w:hAnsi="Times New Roman"/>
          <w:i/>
          <w:sz w:val="24"/>
          <w:szCs w:val="24"/>
        </w:rPr>
        <w:t>Employment</w:t>
      </w:r>
      <w:r w:rsidRPr="00473C61">
        <w:rPr>
          <w:rFonts w:ascii="Times New Roman" w:hAnsi="Times New Roman"/>
          <w:sz w:val="24"/>
          <w:szCs w:val="24"/>
        </w:rPr>
        <w:t xml:space="preserve"> status of the household’s head is categori</w:t>
      </w:r>
      <w:r w:rsidR="008F7670" w:rsidRPr="00473C61">
        <w:rPr>
          <w:rFonts w:ascii="Times New Roman" w:hAnsi="Times New Roman"/>
          <w:sz w:val="24"/>
          <w:szCs w:val="24"/>
        </w:rPr>
        <w:t>z</w:t>
      </w:r>
      <w:r w:rsidRPr="00473C61">
        <w:rPr>
          <w:rFonts w:ascii="Times New Roman" w:hAnsi="Times New Roman"/>
          <w:sz w:val="24"/>
          <w:szCs w:val="24"/>
        </w:rPr>
        <w:t xml:space="preserve">ed as employed, unemployed, retired or unoccupied.  </w:t>
      </w:r>
      <w:r w:rsidR="00E23E75" w:rsidRPr="00473C61">
        <w:rPr>
          <w:rFonts w:ascii="Times New Roman" w:hAnsi="Times New Roman"/>
          <w:sz w:val="24"/>
          <w:szCs w:val="24"/>
        </w:rPr>
        <w:t xml:space="preserve"> </w:t>
      </w:r>
      <w:r w:rsidR="00E23E75" w:rsidRPr="00473C61">
        <w:rPr>
          <w:rFonts w:ascii="Times New Roman" w:hAnsi="Times New Roman"/>
          <w:i/>
          <w:sz w:val="24"/>
          <w:szCs w:val="24"/>
        </w:rPr>
        <w:t xml:space="preserve">Occupational classification </w:t>
      </w:r>
      <w:r w:rsidR="00E92E0F" w:rsidRPr="00473C61">
        <w:rPr>
          <w:rFonts w:ascii="Times New Roman" w:hAnsi="Times New Roman"/>
          <w:sz w:val="24"/>
          <w:szCs w:val="24"/>
        </w:rPr>
        <w:t xml:space="preserve">indicates the skill level and content of </w:t>
      </w:r>
      <w:r w:rsidR="00B45962" w:rsidRPr="00473C61">
        <w:rPr>
          <w:rFonts w:ascii="Times New Roman" w:hAnsi="Times New Roman"/>
          <w:sz w:val="24"/>
          <w:szCs w:val="24"/>
        </w:rPr>
        <w:t xml:space="preserve">the </w:t>
      </w:r>
      <w:r w:rsidR="00A8330F" w:rsidRPr="00473C61">
        <w:rPr>
          <w:rFonts w:ascii="Times New Roman" w:hAnsi="Times New Roman"/>
          <w:sz w:val="24"/>
          <w:szCs w:val="24"/>
        </w:rPr>
        <w:t>head of household’s employment</w:t>
      </w:r>
      <w:r w:rsidR="00E92E0F" w:rsidRPr="00473C61">
        <w:rPr>
          <w:rFonts w:ascii="Times New Roman" w:hAnsi="Times New Roman"/>
          <w:sz w:val="24"/>
          <w:szCs w:val="24"/>
        </w:rPr>
        <w:t>.  There are six categories as i) h</w:t>
      </w:r>
      <w:r w:rsidR="00E23E75" w:rsidRPr="00473C61">
        <w:rPr>
          <w:rFonts w:ascii="Times New Roman" w:hAnsi="Times New Roman"/>
          <w:sz w:val="24"/>
          <w:szCs w:val="24"/>
        </w:rPr>
        <w:t>igher managerial, professional or large employer</w:t>
      </w:r>
      <w:r w:rsidR="00E92E0F" w:rsidRPr="00473C61">
        <w:rPr>
          <w:rFonts w:ascii="Times New Roman" w:hAnsi="Times New Roman"/>
          <w:sz w:val="24"/>
          <w:szCs w:val="24"/>
        </w:rPr>
        <w:t>, ii) l</w:t>
      </w:r>
      <w:r w:rsidR="00E23E75" w:rsidRPr="00473C61">
        <w:rPr>
          <w:rFonts w:ascii="Times New Roman" w:hAnsi="Times New Roman"/>
          <w:sz w:val="24"/>
          <w:szCs w:val="24"/>
        </w:rPr>
        <w:t>ower managerial</w:t>
      </w:r>
      <w:r w:rsidR="00E92E0F" w:rsidRPr="00473C61">
        <w:rPr>
          <w:rFonts w:ascii="Times New Roman" w:hAnsi="Times New Roman"/>
          <w:sz w:val="24"/>
          <w:szCs w:val="24"/>
        </w:rPr>
        <w:t>, iii) c</w:t>
      </w:r>
      <w:r w:rsidR="00E23E75" w:rsidRPr="00473C61">
        <w:rPr>
          <w:rFonts w:ascii="Times New Roman" w:hAnsi="Times New Roman"/>
          <w:sz w:val="24"/>
          <w:szCs w:val="24"/>
        </w:rPr>
        <w:t>lerical and intermediate</w:t>
      </w:r>
      <w:r w:rsidR="00E92E0F" w:rsidRPr="00473C61">
        <w:rPr>
          <w:rFonts w:ascii="Times New Roman" w:hAnsi="Times New Roman"/>
          <w:sz w:val="24"/>
          <w:szCs w:val="24"/>
        </w:rPr>
        <w:t>, iv) s</w:t>
      </w:r>
      <w:r w:rsidR="00E23E75" w:rsidRPr="00473C61">
        <w:rPr>
          <w:rFonts w:ascii="Times New Roman" w:hAnsi="Times New Roman"/>
          <w:sz w:val="24"/>
          <w:szCs w:val="24"/>
        </w:rPr>
        <w:t>mall employers or self owned business</w:t>
      </w:r>
      <w:r w:rsidR="00E92E0F" w:rsidRPr="00473C61">
        <w:rPr>
          <w:rFonts w:ascii="Times New Roman" w:hAnsi="Times New Roman"/>
          <w:sz w:val="24"/>
          <w:szCs w:val="24"/>
        </w:rPr>
        <w:t>, v) l</w:t>
      </w:r>
      <w:r w:rsidR="00E23E75" w:rsidRPr="00473C61">
        <w:rPr>
          <w:rFonts w:ascii="Times New Roman" w:hAnsi="Times New Roman"/>
          <w:sz w:val="24"/>
          <w:szCs w:val="24"/>
        </w:rPr>
        <w:t>ower supervisory or technical</w:t>
      </w:r>
      <w:r w:rsidR="00E92E0F" w:rsidRPr="00473C61">
        <w:rPr>
          <w:rFonts w:ascii="Times New Roman" w:hAnsi="Times New Roman"/>
          <w:sz w:val="24"/>
          <w:szCs w:val="24"/>
        </w:rPr>
        <w:t xml:space="preserve"> and vi) r</w:t>
      </w:r>
      <w:r w:rsidR="00E23E75" w:rsidRPr="00473C61">
        <w:rPr>
          <w:rFonts w:ascii="Times New Roman" w:hAnsi="Times New Roman"/>
          <w:sz w:val="24"/>
          <w:szCs w:val="24"/>
        </w:rPr>
        <w:t>outine and semi-routine</w:t>
      </w:r>
      <w:r w:rsidR="00E92E0F" w:rsidRPr="00473C61">
        <w:rPr>
          <w:rFonts w:ascii="Times New Roman" w:hAnsi="Times New Roman"/>
          <w:sz w:val="24"/>
          <w:szCs w:val="24"/>
        </w:rPr>
        <w:t xml:space="preserve"> manual or service</w:t>
      </w:r>
      <w:r w:rsidR="005C7DF4" w:rsidRPr="00473C61">
        <w:rPr>
          <w:rStyle w:val="Rimandonotaapidipagina"/>
          <w:rFonts w:ascii="Times New Roman" w:hAnsi="Times New Roman"/>
          <w:sz w:val="24"/>
          <w:szCs w:val="24"/>
        </w:rPr>
        <w:footnoteReference w:id="7"/>
      </w:r>
      <w:r w:rsidR="00E92E0F" w:rsidRPr="00473C61">
        <w:rPr>
          <w:rFonts w:ascii="Times New Roman" w:hAnsi="Times New Roman"/>
          <w:sz w:val="24"/>
          <w:szCs w:val="24"/>
        </w:rPr>
        <w:t xml:space="preserve">.  </w:t>
      </w:r>
      <w:r w:rsidRPr="00473C61">
        <w:rPr>
          <w:rFonts w:ascii="Times New Roman" w:hAnsi="Times New Roman"/>
          <w:i/>
          <w:sz w:val="24"/>
          <w:szCs w:val="24"/>
        </w:rPr>
        <w:t xml:space="preserve">Education </w:t>
      </w:r>
      <w:r w:rsidRPr="00473C61">
        <w:rPr>
          <w:rFonts w:ascii="Times New Roman" w:hAnsi="Times New Roman"/>
          <w:sz w:val="24"/>
          <w:szCs w:val="24"/>
        </w:rPr>
        <w:t>indicates the educational attainment of t</w:t>
      </w:r>
      <w:r w:rsidR="00E23E75" w:rsidRPr="00473C61">
        <w:rPr>
          <w:rFonts w:ascii="Times New Roman" w:hAnsi="Times New Roman"/>
          <w:sz w:val="24"/>
          <w:szCs w:val="24"/>
        </w:rPr>
        <w:t>he household’s head.  We use three levels as GSCE</w:t>
      </w:r>
      <w:r w:rsidR="00AD41E8" w:rsidRPr="00473C61">
        <w:rPr>
          <w:rFonts w:ascii="Times New Roman" w:hAnsi="Times New Roman"/>
          <w:sz w:val="24"/>
          <w:szCs w:val="24"/>
        </w:rPr>
        <w:t xml:space="preserve"> (UK school qualifications typically at 16 years of age)</w:t>
      </w:r>
      <w:r w:rsidR="00E23E75" w:rsidRPr="00473C61">
        <w:rPr>
          <w:rFonts w:ascii="Times New Roman" w:hAnsi="Times New Roman"/>
          <w:sz w:val="24"/>
          <w:szCs w:val="24"/>
        </w:rPr>
        <w:t xml:space="preserve">, A-levels </w:t>
      </w:r>
      <w:r w:rsidR="00AD41E8" w:rsidRPr="00473C61">
        <w:rPr>
          <w:rFonts w:ascii="Times New Roman" w:hAnsi="Times New Roman"/>
          <w:sz w:val="24"/>
          <w:szCs w:val="24"/>
        </w:rPr>
        <w:t xml:space="preserve">(UK school or college qualifications typically at 18 years of age) </w:t>
      </w:r>
      <w:r w:rsidR="00E23E75" w:rsidRPr="00473C61">
        <w:rPr>
          <w:rFonts w:ascii="Times New Roman" w:hAnsi="Times New Roman"/>
          <w:sz w:val="24"/>
          <w:szCs w:val="24"/>
        </w:rPr>
        <w:t>and higher education</w:t>
      </w:r>
      <w:r w:rsidR="00AD41E8" w:rsidRPr="00473C61">
        <w:rPr>
          <w:rFonts w:ascii="Times New Roman" w:hAnsi="Times New Roman"/>
          <w:sz w:val="24"/>
          <w:szCs w:val="24"/>
        </w:rPr>
        <w:t xml:space="preserve"> (post-school qualifications including further and higher university education)</w:t>
      </w:r>
      <w:r w:rsidR="00E23E75" w:rsidRPr="00473C61">
        <w:rPr>
          <w:rFonts w:ascii="Times New Roman" w:hAnsi="Times New Roman"/>
          <w:sz w:val="24"/>
          <w:szCs w:val="24"/>
        </w:rPr>
        <w:t xml:space="preserve">. </w:t>
      </w:r>
      <w:r w:rsidRPr="00473C61">
        <w:rPr>
          <w:rFonts w:ascii="Times New Roman" w:hAnsi="Times New Roman"/>
          <w:sz w:val="24"/>
          <w:szCs w:val="24"/>
        </w:rPr>
        <w:t xml:space="preserve"> </w:t>
      </w:r>
      <w:r w:rsidRPr="00473C61">
        <w:rPr>
          <w:rFonts w:ascii="Times New Roman" w:hAnsi="Times New Roman"/>
          <w:i/>
          <w:sz w:val="24"/>
          <w:szCs w:val="24"/>
        </w:rPr>
        <w:t>Gender</w:t>
      </w:r>
      <w:r w:rsidRPr="00473C61">
        <w:rPr>
          <w:rFonts w:ascii="Times New Roman" w:hAnsi="Times New Roman"/>
          <w:sz w:val="24"/>
          <w:szCs w:val="24"/>
        </w:rPr>
        <w:t xml:space="preserve"> indicates the sex of the household reference person. </w:t>
      </w:r>
      <w:r w:rsidRPr="00473C61">
        <w:rPr>
          <w:rFonts w:ascii="Times New Roman" w:hAnsi="Times New Roman"/>
          <w:i/>
          <w:sz w:val="24"/>
          <w:szCs w:val="24"/>
        </w:rPr>
        <w:t>Marital Status</w:t>
      </w:r>
      <w:r w:rsidRPr="00473C61">
        <w:rPr>
          <w:rFonts w:ascii="Times New Roman" w:hAnsi="Times New Roman"/>
          <w:sz w:val="24"/>
          <w:szCs w:val="24"/>
        </w:rPr>
        <w:t xml:space="preserve"> indicates the marital status of the household reference person categori</w:t>
      </w:r>
      <w:r w:rsidR="008F7670" w:rsidRPr="00473C61">
        <w:rPr>
          <w:rFonts w:ascii="Times New Roman" w:hAnsi="Times New Roman"/>
          <w:sz w:val="24"/>
          <w:szCs w:val="24"/>
        </w:rPr>
        <w:t>z</w:t>
      </w:r>
      <w:r w:rsidRPr="00473C61">
        <w:rPr>
          <w:rFonts w:ascii="Times New Roman" w:hAnsi="Times New Roman"/>
          <w:sz w:val="24"/>
          <w:szCs w:val="24"/>
        </w:rPr>
        <w:t>ed as married, co-</w:t>
      </w:r>
      <w:r w:rsidR="00407EE1" w:rsidRPr="00473C61">
        <w:rPr>
          <w:rFonts w:ascii="Times New Roman" w:hAnsi="Times New Roman"/>
          <w:sz w:val="24"/>
          <w:szCs w:val="24"/>
        </w:rPr>
        <w:t>habiting or</w:t>
      </w:r>
      <w:r w:rsidRPr="00473C61">
        <w:rPr>
          <w:rFonts w:ascii="Times New Roman" w:hAnsi="Times New Roman"/>
          <w:sz w:val="24"/>
          <w:szCs w:val="24"/>
        </w:rPr>
        <w:t xml:space="preserve"> single</w:t>
      </w:r>
      <w:r w:rsidR="00407EE1" w:rsidRPr="00473C61">
        <w:rPr>
          <w:rStyle w:val="Rimandonotaapidipagina"/>
          <w:rFonts w:ascii="Times New Roman" w:hAnsi="Times New Roman"/>
          <w:sz w:val="24"/>
          <w:szCs w:val="24"/>
        </w:rPr>
        <w:footnoteReference w:id="8"/>
      </w:r>
      <w:r w:rsidR="00407EE1" w:rsidRPr="00473C61">
        <w:rPr>
          <w:rFonts w:ascii="Times New Roman" w:hAnsi="Times New Roman"/>
          <w:sz w:val="24"/>
          <w:szCs w:val="24"/>
        </w:rPr>
        <w:t xml:space="preserve">.  </w:t>
      </w:r>
    </w:p>
    <w:p w:rsidR="00407EE1" w:rsidRPr="00473C61" w:rsidRDefault="00407EE1" w:rsidP="005E0635">
      <w:pPr>
        <w:spacing w:after="0" w:line="480" w:lineRule="auto"/>
        <w:jc w:val="both"/>
        <w:rPr>
          <w:rFonts w:ascii="Times New Roman" w:hAnsi="Times New Roman"/>
          <w:sz w:val="24"/>
          <w:szCs w:val="24"/>
        </w:rPr>
      </w:pPr>
    </w:p>
    <w:p w:rsidR="005B5C87" w:rsidRPr="00473C61" w:rsidRDefault="00407EE1" w:rsidP="00407EE1">
      <w:pPr>
        <w:spacing w:after="0" w:line="480" w:lineRule="auto"/>
        <w:jc w:val="both"/>
        <w:rPr>
          <w:rFonts w:ascii="Times New Roman" w:hAnsi="Times New Roman"/>
          <w:sz w:val="24"/>
          <w:szCs w:val="24"/>
        </w:rPr>
      </w:pPr>
      <w:r w:rsidRPr="00473C61">
        <w:rPr>
          <w:rFonts w:ascii="Times New Roman" w:hAnsi="Times New Roman"/>
          <w:sz w:val="24"/>
          <w:szCs w:val="24"/>
        </w:rPr>
        <w:t xml:space="preserve">Explanatory variables relating to the household in general </w:t>
      </w:r>
      <w:r w:rsidR="008F7670" w:rsidRPr="00473C61">
        <w:rPr>
          <w:rFonts w:ascii="Times New Roman" w:hAnsi="Times New Roman"/>
          <w:sz w:val="24"/>
          <w:szCs w:val="24"/>
        </w:rPr>
        <w:t xml:space="preserve">include </w:t>
      </w:r>
      <w:r w:rsidRPr="00473C61">
        <w:rPr>
          <w:rFonts w:ascii="Times New Roman" w:hAnsi="Times New Roman"/>
          <w:sz w:val="24"/>
          <w:szCs w:val="24"/>
        </w:rPr>
        <w:t>house</w:t>
      </w:r>
      <w:r w:rsidR="0073484F" w:rsidRPr="00473C61">
        <w:rPr>
          <w:rFonts w:ascii="Times New Roman" w:hAnsi="Times New Roman"/>
          <w:sz w:val="24"/>
          <w:szCs w:val="24"/>
        </w:rPr>
        <w:t xml:space="preserve">hold size, income, </w:t>
      </w:r>
      <w:r w:rsidRPr="00473C61">
        <w:rPr>
          <w:rFonts w:ascii="Times New Roman" w:hAnsi="Times New Roman"/>
          <w:sz w:val="24"/>
          <w:szCs w:val="24"/>
        </w:rPr>
        <w:t>benefits, tenure and region</w:t>
      </w:r>
      <w:r w:rsidR="008F7670" w:rsidRPr="00473C61">
        <w:rPr>
          <w:rFonts w:ascii="Times New Roman" w:hAnsi="Times New Roman"/>
          <w:sz w:val="24"/>
          <w:szCs w:val="24"/>
        </w:rPr>
        <w:t xml:space="preserve"> (where they are geographically located)</w:t>
      </w:r>
      <w:r w:rsidRPr="00473C61">
        <w:rPr>
          <w:rFonts w:ascii="Times New Roman" w:hAnsi="Times New Roman"/>
          <w:sz w:val="24"/>
          <w:szCs w:val="24"/>
        </w:rPr>
        <w:t xml:space="preserve">.  </w:t>
      </w:r>
      <w:r w:rsidRPr="00473C61">
        <w:rPr>
          <w:rFonts w:ascii="Times New Roman" w:hAnsi="Times New Roman"/>
          <w:i/>
          <w:sz w:val="24"/>
          <w:szCs w:val="24"/>
        </w:rPr>
        <w:t>Household Size</w:t>
      </w:r>
      <w:r w:rsidRPr="00473C61">
        <w:rPr>
          <w:rFonts w:ascii="Times New Roman" w:hAnsi="Times New Roman"/>
          <w:sz w:val="24"/>
          <w:szCs w:val="24"/>
        </w:rPr>
        <w:t xml:space="preserve"> indicates the number of persons in a household. </w:t>
      </w:r>
      <w:r w:rsidRPr="00473C61">
        <w:rPr>
          <w:rFonts w:ascii="Times New Roman" w:hAnsi="Times New Roman"/>
          <w:i/>
          <w:sz w:val="24"/>
          <w:szCs w:val="24"/>
        </w:rPr>
        <w:t>Income</w:t>
      </w:r>
      <w:r w:rsidRPr="00473C61">
        <w:rPr>
          <w:rFonts w:ascii="Times New Roman" w:hAnsi="Times New Roman"/>
          <w:sz w:val="24"/>
          <w:szCs w:val="24"/>
        </w:rPr>
        <w:t xml:space="preserve"> indicates the total weekly income of the household.  </w:t>
      </w:r>
      <w:r w:rsidRPr="00473C61">
        <w:rPr>
          <w:rFonts w:ascii="Times New Roman" w:hAnsi="Times New Roman"/>
          <w:i/>
          <w:sz w:val="24"/>
          <w:szCs w:val="24"/>
        </w:rPr>
        <w:t>Benefits</w:t>
      </w:r>
      <w:r w:rsidRPr="00473C61">
        <w:rPr>
          <w:rFonts w:ascii="Times New Roman" w:hAnsi="Times New Roman"/>
          <w:sz w:val="24"/>
          <w:szCs w:val="24"/>
        </w:rPr>
        <w:t xml:space="preserve"> represent those households receiving any form of benefit payments from the Department for Work and Pensions or the Social Security Agency.  </w:t>
      </w:r>
      <w:r w:rsidR="005B5C87" w:rsidRPr="00473C61">
        <w:rPr>
          <w:rFonts w:ascii="Times New Roman" w:hAnsi="Times New Roman"/>
          <w:i/>
          <w:sz w:val="24"/>
          <w:szCs w:val="24"/>
        </w:rPr>
        <w:t>Tenure</w:t>
      </w:r>
      <w:r w:rsidR="005B5C87" w:rsidRPr="00473C61">
        <w:rPr>
          <w:rFonts w:ascii="Times New Roman" w:hAnsi="Times New Roman"/>
          <w:sz w:val="24"/>
          <w:szCs w:val="24"/>
        </w:rPr>
        <w:t xml:space="preserve"> represents the </w:t>
      </w:r>
      <w:r w:rsidR="005B5C87" w:rsidRPr="00473C61">
        <w:rPr>
          <w:rFonts w:ascii="Times New Roman" w:hAnsi="Times New Roman"/>
          <w:sz w:val="24"/>
          <w:szCs w:val="24"/>
        </w:rPr>
        <w:lastRenderedPageBreak/>
        <w:t>housing tenure of the respondent. Based on responses from the survey, this variable has been coded into owner occupiers, those paying off mortgages, those living in rented homes and those living in rent-free accommodation.</w:t>
      </w:r>
      <w:r w:rsidRPr="00473C61">
        <w:rPr>
          <w:rFonts w:ascii="Times New Roman" w:hAnsi="Times New Roman"/>
          <w:sz w:val="24"/>
          <w:szCs w:val="24"/>
        </w:rPr>
        <w:t xml:space="preserve">  </w:t>
      </w:r>
      <w:r w:rsidR="000963DB" w:rsidRPr="00473C61">
        <w:rPr>
          <w:rFonts w:ascii="Times New Roman" w:hAnsi="Times New Roman"/>
          <w:i/>
          <w:sz w:val="24"/>
          <w:szCs w:val="24"/>
        </w:rPr>
        <w:t>R</w:t>
      </w:r>
      <w:r w:rsidR="000963DB" w:rsidRPr="00473C61">
        <w:rPr>
          <w:rFonts w:ascii="Times New Roman" w:hAnsi="Times New Roman"/>
          <w:i/>
          <w:sz w:val="24"/>
          <w:szCs w:val="24"/>
          <w:vertAlign w:val="subscript"/>
        </w:rPr>
        <w:t>i</w:t>
      </w:r>
      <w:r w:rsidR="005B5C87" w:rsidRPr="00473C61">
        <w:rPr>
          <w:rFonts w:ascii="Times New Roman" w:hAnsi="Times New Roman"/>
          <w:sz w:val="24"/>
          <w:szCs w:val="24"/>
          <w:vertAlign w:val="subscript"/>
        </w:rPr>
        <w:t xml:space="preserve"> </w:t>
      </w:r>
      <w:r w:rsidR="003B5CA2" w:rsidRPr="00473C61">
        <w:rPr>
          <w:rFonts w:ascii="Times New Roman" w:hAnsi="Times New Roman"/>
          <w:sz w:val="24"/>
          <w:szCs w:val="24"/>
          <w:vertAlign w:val="subscript"/>
        </w:rPr>
        <w:t xml:space="preserve"> </w:t>
      </w:r>
      <w:r w:rsidR="0073484F" w:rsidRPr="00473C61">
        <w:rPr>
          <w:rFonts w:ascii="Times New Roman" w:hAnsi="Times New Roman"/>
          <w:sz w:val="24"/>
          <w:szCs w:val="24"/>
        </w:rPr>
        <w:t>is</w:t>
      </w:r>
      <w:r w:rsidR="000963DB" w:rsidRPr="00473C61">
        <w:rPr>
          <w:rFonts w:ascii="Times New Roman" w:hAnsi="Times New Roman"/>
          <w:sz w:val="24"/>
          <w:szCs w:val="24"/>
        </w:rPr>
        <w:t xml:space="preserve"> a set of dummy variables i</w:t>
      </w:r>
      <w:r w:rsidR="005B5C87" w:rsidRPr="00473C61">
        <w:rPr>
          <w:rFonts w:ascii="Times New Roman" w:hAnsi="Times New Roman"/>
          <w:sz w:val="24"/>
          <w:szCs w:val="24"/>
        </w:rPr>
        <w:t>ndicates the region where the household is located</w:t>
      </w:r>
      <w:r w:rsidR="00CE55DA" w:rsidRPr="00473C61">
        <w:rPr>
          <w:rStyle w:val="Rimandonotaapidipagina"/>
          <w:rFonts w:ascii="Times New Roman" w:hAnsi="Times New Roman"/>
          <w:sz w:val="24"/>
          <w:szCs w:val="24"/>
        </w:rPr>
        <w:footnoteReference w:id="9"/>
      </w:r>
      <w:r w:rsidR="005B5C87" w:rsidRPr="00473C61">
        <w:rPr>
          <w:rFonts w:ascii="Times New Roman" w:hAnsi="Times New Roman"/>
          <w:sz w:val="24"/>
          <w:szCs w:val="24"/>
        </w:rPr>
        <w:t xml:space="preserve">.  </w:t>
      </w:r>
      <w:r w:rsidRPr="00473C61">
        <w:rPr>
          <w:rFonts w:ascii="Times New Roman" w:hAnsi="Times New Roman"/>
          <w:i/>
          <w:sz w:val="24"/>
          <w:szCs w:val="24"/>
        </w:rPr>
        <w:t>X</w:t>
      </w:r>
      <w:r w:rsidRPr="00473C61">
        <w:rPr>
          <w:rFonts w:ascii="Times New Roman" w:hAnsi="Times New Roman"/>
          <w:i/>
          <w:sz w:val="24"/>
          <w:szCs w:val="24"/>
          <w:vertAlign w:val="subscript"/>
        </w:rPr>
        <w:t>t</w:t>
      </w:r>
      <w:r w:rsidRPr="00473C61">
        <w:rPr>
          <w:rFonts w:ascii="Times New Roman" w:hAnsi="Times New Roman"/>
          <w:sz w:val="24"/>
          <w:szCs w:val="24"/>
          <w:vertAlign w:val="subscript"/>
        </w:rPr>
        <w:t xml:space="preserve"> </w:t>
      </w:r>
      <w:r w:rsidRPr="00473C61">
        <w:rPr>
          <w:rFonts w:ascii="Times New Roman" w:hAnsi="Times New Roman"/>
          <w:sz w:val="24"/>
          <w:szCs w:val="24"/>
        </w:rPr>
        <w:t xml:space="preserve">is a set of time dummies, representing years between 2001 and 2009, to capture </w:t>
      </w:r>
      <w:r w:rsidR="005B5C87" w:rsidRPr="00473C61">
        <w:rPr>
          <w:rFonts w:ascii="Times New Roman" w:hAnsi="Times New Roman"/>
          <w:sz w:val="24"/>
          <w:szCs w:val="24"/>
        </w:rPr>
        <w:t>the effect of the macroeconomic enviro</w:t>
      </w:r>
      <w:r w:rsidRPr="00473C61">
        <w:rPr>
          <w:rFonts w:ascii="Times New Roman" w:hAnsi="Times New Roman"/>
          <w:sz w:val="24"/>
          <w:szCs w:val="24"/>
        </w:rPr>
        <w:t>nment on bank lending practices.</w:t>
      </w:r>
    </w:p>
    <w:p w:rsidR="00407EE1" w:rsidRPr="00473C61" w:rsidRDefault="00407EE1" w:rsidP="00C80D86">
      <w:pPr>
        <w:pStyle w:val="Paragrafoelenco"/>
        <w:spacing w:after="0" w:line="480" w:lineRule="auto"/>
        <w:ind w:left="0"/>
        <w:jc w:val="both"/>
        <w:rPr>
          <w:rFonts w:ascii="Times New Roman" w:hAnsi="Times New Roman"/>
          <w:sz w:val="24"/>
          <w:szCs w:val="24"/>
        </w:rPr>
      </w:pPr>
    </w:p>
    <w:p w:rsidR="00035BC0" w:rsidRPr="00473C61" w:rsidRDefault="00946226" w:rsidP="00C80D86">
      <w:pPr>
        <w:pStyle w:val="Paragrafoelenco"/>
        <w:spacing w:after="0" w:line="480" w:lineRule="auto"/>
        <w:ind w:left="0"/>
        <w:jc w:val="both"/>
        <w:rPr>
          <w:rFonts w:ascii="Times New Roman" w:hAnsi="Times New Roman"/>
          <w:sz w:val="24"/>
          <w:szCs w:val="24"/>
        </w:rPr>
      </w:pPr>
      <w:r w:rsidRPr="00473C61">
        <w:rPr>
          <w:rFonts w:ascii="Times New Roman" w:hAnsi="Times New Roman"/>
          <w:sz w:val="24"/>
          <w:szCs w:val="24"/>
        </w:rPr>
        <w:t xml:space="preserve">In addition to the main dependent variable, </w:t>
      </w:r>
      <w:r w:rsidR="00CE55DA" w:rsidRPr="00473C61">
        <w:rPr>
          <w:rFonts w:ascii="Times New Roman" w:hAnsi="Times New Roman"/>
          <w:i/>
          <w:sz w:val="24"/>
          <w:szCs w:val="24"/>
        </w:rPr>
        <w:t>NoF</w:t>
      </w:r>
      <w:r w:rsidRPr="00473C61">
        <w:rPr>
          <w:rFonts w:ascii="Times New Roman" w:hAnsi="Times New Roman"/>
          <w:i/>
          <w:sz w:val="24"/>
          <w:szCs w:val="24"/>
        </w:rPr>
        <w:t>inanc</w:t>
      </w:r>
      <w:r w:rsidR="00CE0D56" w:rsidRPr="00473C61">
        <w:rPr>
          <w:rFonts w:ascii="Times New Roman" w:hAnsi="Times New Roman"/>
          <w:i/>
          <w:sz w:val="24"/>
          <w:szCs w:val="24"/>
        </w:rPr>
        <w:t>ing</w:t>
      </w:r>
      <w:r w:rsidRPr="00473C61">
        <w:rPr>
          <w:rFonts w:ascii="Times New Roman" w:hAnsi="Times New Roman"/>
          <w:sz w:val="24"/>
          <w:szCs w:val="24"/>
        </w:rPr>
        <w:t>, w</w:t>
      </w:r>
      <w:r w:rsidR="00C80D86" w:rsidRPr="00473C61">
        <w:rPr>
          <w:rFonts w:ascii="Times New Roman" w:hAnsi="Times New Roman"/>
          <w:sz w:val="24"/>
          <w:szCs w:val="24"/>
        </w:rPr>
        <w:t>e also employ two alternative dependent variables,</w:t>
      </w:r>
      <w:r w:rsidRPr="00473C61">
        <w:rPr>
          <w:rFonts w:ascii="Times New Roman" w:hAnsi="Times New Roman"/>
          <w:sz w:val="24"/>
          <w:szCs w:val="24"/>
        </w:rPr>
        <w:t xml:space="preserve"> </w:t>
      </w:r>
      <w:r w:rsidR="00CE55DA" w:rsidRPr="00473C61">
        <w:rPr>
          <w:rFonts w:ascii="Times New Roman" w:hAnsi="Times New Roman"/>
          <w:i/>
          <w:sz w:val="24"/>
          <w:szCs w:val="24"/>
        </w:rPr>
        <w:t>NoL</w:t>
      </w:r>
      <w:r w:rsidR="00C80D86" w:rsidRPr="00473C61">
        <w:rPr>
          <w:rFonts w:ascii="Times New Roman" w:hAnsi="Times New Roman"/>
          <w:i/>
          <w:sz w:val="24"/>
          <w:szCs w:val="24"/>
        </w:rPr>
        <w:t xml:space="preserve">oan </w:t>
      </w:r>
      <w:r w:rsidR="00C80D86" w:rsidRPr="00473C61">
        <w:rPr>
          <w:rFonts w:ascii="Times New Roman" w:hAnsi="Times New Roman"/>
          <w:sz w:val="24"/>
          <w:szCs w:val="24"/>
        </w:rPr>
        <w:t xml:space="preserve">and </w:t>
      </w:r>
      <w:r w:rsidR="00CE55DA" w:rsidRPr="00473C61">
        <w:rPr>
          <w:rFonts w:ascii="Times New Roman" w:hAnsi="Times New Roman"/>
          <w:i/>
          <w:sz w:val="24"/>
          <w:szCs w:val="24"/>
        </w:rPr>
        <w:t>NoC</w:t>
      </w:r>
      <w:r w:rsidR="00C80D86" w:rsidRPr="00473C61">
        <w:rPr>
          <w:rFonts w:ascii="Times New Roman" w:hAnsi="Times New Roman"/>
          <w:i/>
          <w:sz w:val="24"/>
          <w:szCs w:val="24"/>
        </w:rPr>
        <w:t>reditcard,</w:t>
      </w:r>
      <w:r w:rsidR="00C80D86" w:rsidRPr="00473C61">
        <w:rPr>
          <w:rFonts w:ascii="Times New Roman" w:hAnsi="Times New Roman"/>
          <w:sz w:val="24"/>
          <w:szCs w:val="24"/>
        </w:rPr>
        <w:t xml:space="preserve"> </w:t>
      </w:r>
      <w:r w:rsidRPr="00473C61">
        <w:rPr>
          <w:rFonts w:ascii="Times New Roman" w:hAnsi="Times New Roman"/>
          <w:sz w:val="24"/>
          <w:szCs w:val="24"/>
        </w:rPr>
        <w:t xml:space="preserve">to examine the determinants of borrowing </w:t>
      </w:r>
      <w:r w:rsidR="00C80D86" w:rsidRPr="00473C61">
        <w:rPr>
          <w:rFonts w:ascii="Times New Roman" w:hAnsi="Times New Roman"/>
          <w:sz w:val="24"/>
          <w:szCs w:val="24"/>
        </w:rPr>
        <w:t>in relation to spec</w:t>
      </w:r>
      <w:r w:rsidRPr="00473C61">
        <w:rPr>
          <w:rFonts w:ascii="Times New Roman" w:hAnsi="Times New Roman"/>
          <w:sz w:val="24"/>
          <w:szCs w:val="24"/>
        </w:rPr>
        <w:t xml:space="preserve">ific </w:t>
      </w:r>
      <w:r w:rsidR="0073484F" w:rsidRPr="00473C61">
        <w:rPr>
          <w:rFonts w:ascii="Times New Roman" w:hAnsi="Times New Roman"/>
          <w:sz w:val="24"/>
          <w:szCs w:val="24"/>
        </w:rPr>
        <w:t>credit</w:t>
      </w:r>
      <w:r w:rsidRPr="00473C61">
        <w:rPr>
          <w:rFonts w:ascii="Times New Roman" w:hAnsi="Times New Roman"/>
          <w:sz w:val="24"/>
          <w:szCs w:val="24"/>
        </w:rPr>
        <w:t xml:space="preserve"> instrument</w:t>
      </w:r>
      <w:r w:rsidR="00C80D86" w:rsidRPr="00473C61">
        <w:rPr>
          <w:rFonts w:ascii="Times New Roman" w:hAnsi="Times New Roman"/>
          <w:sz w:val="24"/>
          <w:szCs w:val="24"/>
        </w:rPr>
        <w:t>s.</w:t>
      </w:r>
      <w:r w:rsidRPr="00473C61">
        <w:rPr>
          <w:rFonts w:ascii="Times New Roman" w:hAnsi="Times New Roman"/>
          <w:sz w:val="24"/>
          <w:szCs w:val="24"/>
        </w:rPr>
        <w:t xml:space="preserve">  Hence, </w:t>
      </w:r>
      <w:r w:rsidR="0073484F" w:rsidRPr="00473C61">
        <w:rPr>
          <w:rFonts w:ascii="Times New Roman" w:hAnsi="Times New Roman"/>
          <w:i/>
          <w:sz w:val="24"/>
          <w:szCs w:val="24"/>
        </w:rPr>
        <w:t>NoL</w:t>
      </w:r>
      <w:r w:rsidRPr="00473C61">
        <w:rPr>
          <w:rFonts w:ascii="Times New Roman" w:hAnsi="Times New Roman"/>
          <w:i/>
          <w:sz w:val="24"/>
          <w:szCs w:val="24"/>
        </w:rPr>
        <w:t>oan</w:t>
      </w:r>
      <w:r w:rsidR="00C80D86" w:rsidRPr="00473C61">
        <w:rPr>
          <w:rFonts w:ascii="Times New Roman" w:hAnsi="Times New Roman"/>
          <w:i/>
          <w:sz w:val="24"/>
          <w:szCs w:val="24"/>
        </w:rPr>
        <w:t xml:space="preserve"> </w:t>
      </w:r>
      <w:r w:rsidRPr="00473C61">
        <w:rPr>
          <w:rFonts w:ascii="Times New Roman" w:hAnsi="Times New Roman"/>
          <w:sz w:val="24"/>
          <w:szCs w:val="24"/>
        </w:rPr>
        <w:t xml:space="preserve">takes the value of </w:t>
      </w:r>
      <w:r w:rsidR="0073484F" w:rsidRPr="00473C61">
        <w:rPr>
          <w:rFonts w:ascii="Times New Roman" w:hAnsi="Times New Roman"/>
          <w:sz w:val="24"/>
          <w:szCs w:val="24"/>
        </w:rPr>
        <w:t xml:space="preserve">1 </w:t>
      </w:r>
      <w:r w:rsidR="00C80D86" w:rsidRPr="00473C61">
        <w:rPr>
          <w:rFonts w:ascii="Times New Roman" w:hAnsi="Times New Roman"/>
          <w:sz w:val="24"/>
          <w:szCs w:val="24"/>
        </w:rPr>
        <w:t xml:space="preserve">if the household is </w:t>
      </w:r>
      <w:r w:rsidR="0073484F" w:rsidRPr="00473C61">
        <w:rPr>
          <w:rFonts w:ascii="Times New Roman" w:hAnsi="Times New Roman"/>
          <w:sz w:val="24"/>
          <w:szCs w:val="24"/>
        </w:rPr>
        <w:t xml:space="preserve">not </w:t>
      </w:r>
      <w:r w:rsidR="00C80D86" w:rsidRPr="00473C61">
        <w:rPr>
          <w:rFonts w:ascii="Times New Roman" w:hAnsi="Times New Roman"/>
          <w:sz w:val="24"/>
          <w:szCs w:val="24"/>
        </w:rPr>
        <w:t>pa</w:t>
      </w:r>
      <w:r w:rsidR="0073484F" w:rsidRPr="00473C61">
        <w:rPr>
          <w:rFonts w:ascii="Times New Roman" w:hAnsi="Times New Roman"/>
          <w:sz w:val="24"/>
          <w:szCs w:val="24"/>
        </w:rPr>
        <w:t xml:space="preserve">ying off a </w:t>
      </w:r>
      <w:r w:rsidR="00BE6121" w:rsidRPr="00473C61">
        <w:rPr>
          <w:rFonts w:ascii="Times New Roman" w:hAnsi="Times New Roman"/>
          <w:sz w:val="24"/>
          <w:szCs w:val="24"/>
        </w:rPr>
        <w:t xml:space="preserve">consumer </w:t>
      </w:r>
      <w:r w:rsidR="0073484F" w:rsidRPr="00473C61">
        <w:rPr>
          <w:rFonts w:ascii="Times New Roman" w:hAnsi="Times New Roman"/>
          <w:sz w:val="24"/>
          <w:szCs w:val="24"/>
        </w:rPr>
        <w:t>loan and 0</w:t>
      </w:r>
      <w:r w:rsidRPr="00473C61">
        <w:rPr>
          <w:rFonts w:ascii="Times New Roman" w:hAnsi="Times New Roman"/>
          <w:sz w:val="24"/>
          <w:szCs w:val="24"/>
        </w:rPr>
        <w:t xml:space="preserve"> otherwise and </w:t>
      </w:r>
      <w:r w:rsidR="0073484F" w:rsidRPr="00473C61">
        <w:rPr>
          <w:rFonts w:ascii="Times New Roman" w:hAnsi="Times New Roman"/>
          <w:i/>
          <w:sz w:val="24"/>
          <w:szCs w:val="24"/>
        </w:rPr>
        <w:t>NoCreditcard</w:t>
      </w:r>
      <w:r w:rsidR="0073484F" w:rsidRPr="00473C61">
        <w:rPr>
          <w:rFonts w:ascii="Times New Roman" w:hAnsi="Times New Roman"/>
          <w:sz w:val="24"/>
          <w:szCs w:val="24"/>
        </w:rPr>
        <w:t xml:space="preserve"> </w:t>
      </w:r>
      <w:r w:rsidR="00C80D86" w:rsidRPr="00473C61">
        <w:rPr>
          <w:rFonts w:ascii="Times New Roman" w:hAnsi="Times New Roman"/>
          <w:sz w:val="24"/>
          <w:szCs w:val="24"/>
        </w:rPr>
        <w:t xml:space="preserve">equals </w:t>
      </w:r>
      <w:r w:rsidR="0073484F" w:rsidRPr="00473C61">
        <w:rPr>
          <w:rFonts w:ascii="Times New Roman" w:hAnsi="Times New Roman"/>
          <w:sz w:val="24"/>
          <w:szCs w:val="24"/>
        </w:rPr>
        <w:t>1</w:t>
      </w:r>
      <w:r w:rsidR="00C80D86" w:rsidRPr="00473C61">
        <w:rPr>
          <w:rFonts w:ascii="Times New Roman" w:hAnsi="Times New Roman"/>
          <w:sz w:val="24"/>
          <w:szCs w:val="24"/>
        </w:rPr>
        <w:t xml:space="preserve"> if the household </w:t>
      </w:r>
      <w:r w:rsidR="0073484F" w:rsidRPr="00473C61">
        <w:rPr>
          <w:rFonts w:ascii="Times New Roman" w:hAnsi="Times New Roman"/>
          <w:sz w:val="24"/>
          <w:szCs w:val="24"/>
        </w:rPr>
        <w:t xml:space="preserve">does not </w:t>
      </w:r>
      <w:r w:rsidR="00C80D86" w:rsidRPr="00473C61">
        <w:rPr>
          <w:rFonts w:ascii="Times New Roman" w:hAnsi="Times New Roman"/>
          <w:sz w:val="24"/>
          <w:szCs w:val="24"/>
        </w:rPr>
        <w:t xml:space="preserve">own a credit card and </w:t>
      </w:r>
      <w:r w:rsidR="0073484F" w:rsidRPr="00473C61">
        <w:rPr>
          <w:rFonts w:ascii="Times New Roman" w:hAnsi="Times New Roman"/>
          <w:sz w:val="24"/>
          <w:szCs w:val="24"/>
        </w:rPr>
        <w:t>0</w:t>
      </w:r>
      <w:r w:rsidR="00C80D86" w:rsidRPr="00473C61">
        <w:rPr>
          <w:rFonts w:ascii="Times New Roman" w:hAnsi="Times New Roman"/>
          <w:sz w:val="24"/>
          <w:szCs w:val="24"/>
        </w:rPr>
        <w:t xml:space="preserve"> otherwise.</w:t>
      </w:r>
      <w:r w:rsidR="00CE55DA" w:rsidRPr="00473C61">
        <w:rPr>
          <w:rFonts w:ascii="Times New Roman" w:hAnsi="Times New Roman"/>
          <w:sz w:val="24"/>
          <w:szCs w:val="24"/>
        </w:rPr>
        <w:t xml:space="preserve">  Furthermore, we use </w:t>
      </w:r>
      <w:r w:rsidR="0073484F" w:rsidRPr="00473C61">
        <w:rPr>
          <w:rFonts w:ascii="Times New Roman" w:hAnsi="Times New Roman"/>
          <w:sz w:val="24"/>
          <w:szCs w:val="24"/>
        </w:rPr>
        <w:t xml:space="preserve">the total </w:t>
      </w:r>
      <w:r w:rsidR="00CE55DA" w:rsidRPr="00473C61">
        <w:rPr>
          <w:rFonts w:ascii="Times New Roman" w:hAnsi="Times New Roman"/>
          <w:sz w:val="24"/>
          <w:szCs w:val="24"/>
        </w:rPr>
        <w:t>number of loans (</w:t>
      </w:r>
      <w:r w:rsidR="00CE55DA" w:rsidRPr="00473C61">
        <w:rPr>
          <w:rFonts w:ascii="Times New Roman" w:hAnsi="Times New Roman"/>
          <w:i/>
          <w:sz w:val="24"/>
          <w:szCs w:val="24"/>
        </w:rPr>
        <w:t>numberofloans</w:t>
      </w:r>
      <w:r w:rsidR="00CE55DA" w:rsidRPr="00473C61">
        <w:rPr>
          <w:rFonts w:ascii="Times New Roman" w:hAnsi="Times New Roman"/>
          <w:sz w:val="24"/>
          <w:szCs w:val="24"/>
        </w:rPr>
        <w:t>)</w:t>
      </w:r>
      <w:r w:rsidR="0073484F" w:rsidRPr="00473C61">
        <w:rPr>
          <w:rFonts w:ascii="Times New Roman" w:hAnsi="Times New Roman"/>
          <w:sz w:val="24"/>
          <w:szCs w:val="24"/>
        </w:rPr>
        <w:t xml:space="preserve"> that the household is paying off</w:t>
      </w:r>
      <w:r w:rsidR="00CE55DA" w:rsidRPr="00473C61">
        <w:rPr>
          <w:rFonts w:ascii="Times New Roman" w:hAnsi="Times New Roman"/>
          <w:sz w:val="24"/>
          <w:szCs w:val="24"/>
        </w:rPr>
        <w:t xml:space="preserve"> as another indicator to measure households’ ability to access to finance. </w:t>
      </w:r>
    </w:p>
    <w:p w:rsidR="001729F1" w:rsidRPr="00473C61" w:rsidRDefault="001729F1" w:rsidP="00C80D86">
      <w:pPr>
        <w:pStyle w:val="Paragrafoelenco"/>
        <w:spacing w:after="0" w:line="480" w:lineRule="auto"/>
        <w:ind w:left="0"/>
        <w:jc w:val="both"/>
        <w:rPr>
          <w:rFonts w:ascii="Times New Roman" w:hAnsi="Times New Roman"/>
          <w:sz w:val="24"/>
          <w:szCs w:val="24"/>
        </w:rPr>
      </w:pPr>
    </w:p>
    <w:p w:rsidR="005B5C87" w:rsidRPr="00473C61" w:rsidRDefault="00F7372B" w:rsidP="001D6D37">
      <w:pPr>
        <w:numPr>
          <w:ilvl w:val="2"/>
          <w:numId w:val="4"/>
        </w:numPr>
        <w:spacing w:after="0" w:line="480" w:lineRule="auto"/>
        <w:ind w:left="709" w:hanging="709"/>
        <w:jc w:val="both"/>
        <w:rPr>
          <w:rFonts w:ascii="Times New Roman" w:hAnsi="Times New Roman"/>
          <w:i/>
          <w:sz w:val="24"/>
          <w:szCs w:val="24"/>
        </w:rPr>
      </w:pPr>
      <w:r w:rsidRPr="00473C61">
        <w:rPr>
          <w:rFonts w:ascii="Times New Roman" w:hAnsi="Times New Roman"/>
          <w:i/>
          <w:sz w:val="24"/>
          <w:szCs w:val="24"/>
        </w:rPr>
        <w:t>Treatment effect</w:t>
      </w:r>
      <w:r w:rsidR="008F7670" w:rsidRPr="00473C61">
        <w:rPr>
          <w:rFonts w:ascii="Times New Roman" w:hAnsi="Times New Roman"/>
          <w:i/>
          <w:sz w:val="24"/>
          <w:szCs w:val="24"/>
        </w:rPr>
        <w:t>s</w:t>
      </w:r>
      <w:r w:rsidRPr="00473C61">
        <w:rPr>
          <w:rFonts w:ascii="Times New Roman" w:hAnsi="Times New Roman"/>
          <w:i/>
          <w:sz w:val="24"/>
          <w:szCs w:val="24"/>
        </w:rPr>
        <w:t xml:space="preserve"> model</w:t>
      </w:r>
    </w:p>
    <w:p w:rsidR="005B3387" w:rsidRPr="00473C61" w:rsidRDefault="004536C1" w:rsidP="005B3387">
      <w:pPr>
        <w:spacing w:after="0" w:line="480" w:lineRule="auto"/>
        <w:jc w:val="both"/>
        <w:rPr>
          <w:rFonts w:ascii="Times New Roman" w:hAnsi="Times New Roman"/>
          <w:sz w:val="24"/>
          <w:szCs w:val="24"/>
        </w:rPr>
      </w:pPr>
      <w:r w:rsidRPr="00473C61">
        <w:rPr>
          <w:rFonts w:ascii="Times New Roman" w:hAnsi="Times New Roman"/>
          <w:sz w:val="24"/>
          <w:szCs w:val="24"/>
        </w:rPr>
        <w:t>From the</w:t>
      </w:r>
      <w:r w:rsidR="008F7670" w:rsidRPr="00473C61">
        <w:rPr>
          <w:rFonts w:ascii="Times New Roman" w:hAnsi="Times New Roman"/>
          <w:sz w:val="24"/>
          <w:szCs w:val="24"/>
        </w:rPr>
        <w:t xml:space="preserve"> sample w</w:t>
      </w:r>
      <w:r w:rsidR="009321A8" w:rsidRPr="00473C61">
        <w:rPr>
          <w:rFonts w:ascii="Times New Roman" w:hAnsi="Times New Roman"/>
          <w:sz w:val="24"/>
          <w:szCs w:val="24"/>
        </w:rPr>
        <w:t xml:space="preserve">e can identify households </w:t>
      </w:r>
      <w:r w:rsidR="008F7670" w:rsidRPr="00473C61">
        <w:rPr>
          <w:rFonts w:ascii="Times New Roman" w:hAnsi="Times New Roman"/>
          <w:sz w:val="24"/>
          <w:szCs w:val="24"/>
        </w:rPr>
        <w:t>that</w:t>
      </w:r>
      <w:r w:rsidR="009321A8" w:rsidRPr="00473C61">
        <w:rPr>
          <w:rFonts w:ascii="Times New Roman" w:hAnsi="Times New Roman"/>
          <w:sz w:val="24"/>
          <w:szCs w:val="24"/>
        </w:rPr>
        <w:t xml:space="preserve"> have </w:t>
      </w:r>
      <w:r w:rsidRPr="00473C61">
        <w:rPr>
          <w:rFonts w:ascii="Times New Roman" w:hAnsi="Times New Roman"/>
          <w:sz w:val="24"/>
          <w:szCs w:val="24"/>
        </w:rPr>
        <w:t xml:space="preserve">financing in the form of </w:t>
      </w:r>
      <w:r w:rsidR="00BE6121" w:rsidRPr="00473C61">
        <w:rPr>
          <w:rFonts w:ascii="Times New Roman" w:hAnsi="Times New Roman"/>
          <w:sz w:val="24"/>
          <w:szCs w:val="24"/>
        </w:rPr>
        <w:t xml:space="preserve">consumer </w:t>
      </w:r>
      <w:r w:rsidRPr="00473C61">
        <w:rPr>
          <w:rFonts w:ascii="Times New Roman" w:hAnsi="Times New Roman"/>
          <w:sz w:val="24"/>
          <w:szCs w:val="24"/>
        </w:rPr>
        <w:t>loan or a credit card.</w:t>
      </w:r>
      <w:r w:rsidR="005B5C87" w:rsidRPr="00473C61">
        <w:rPr>
          <w:rFonts w:ascii="Times New Roman" w:hAnsi="Times New Roman"/>
          <w:sz w:val="24"/>
          <w:szCs w:val="24"/>
        </w:rPr>
        <w:t xml:space="preserve">  </w:t>
      </w:r>
      <w:r w:rsidR="009321A8" w:rsidRPr="00473C61">
        <w:rPr>
          <w:rFonts w:ascii="Times New Roman" w:hAnsi="Times New Roman"/>
          <w:sz w:val="24"/>
          <w:szCs w:val="24"/>
        </w:rPr>
        <w:t xml:space="preserve">However, it is challenging to </w:t>
      </w:r>
      <w:r w:rsidRPr="00473C61">
        <w:rPr>
          <w:rFonts w:ascii="Times New Roman" w:hAnsi="Times New Roman"/>
          <w:sz w:val="24"/>
          <w:szCs w:val="24"/>
        </w:rPr>
        <w:t xml:space="preserve">identify whether a household is </w:t>
      </w:r>
      <w:r w:rsidR="009321A8" w:rsidRPr="00473C61">
        <w:rPr>
          <w:rFonts w:ascii="Times New Roman" w:hAnsi="Times New Roman"/>
          <w:sz w:val="24"/>
          <w:szCs w:val="24"/>
        </w:rPr>
        <w:t xml:space="preserve">excluded from the market voluntarily or involuntary.  One could argue that certain households loathe the whole idea of borrowing from a financial institution and do not use any form of </w:t>
      </w:r>
      <w:r w:rsidR="008C65EF" w:rsidRPr="00473C61">
        <w:rPr>
          <w:rFonts w:ascii="Times New Roman" w:hAnsi="Times New Roman"/>
          <w:sz w:val="24"/>
          <w:szCs w:val="24"/>
        </w:rPr>
        <w:t xml:space="preserve">formal </w:t>
      </w:r>
      <w:r w:rsidR="009321A8" w:rsidRPr="00473C61">
        <w:rPr>
          <w:rFonts w:ascii="Times New Roman" w:hAnsi="Times New Roman"/>
          <w:sz w:val="24"/>
          <w:szCs w:val="24"/>
        </w:rPr>
        <w:t>credit by choice.</w:t>
      </w:r>
      <w:r w:rsidR="008C65EF" w:rsidRPr="00473C61">
        <w:rPr>
          <w:rFonts w:ascii="Times New Roman" w:hAnsi="Times New Roman"/>
          <w:sz w:val="24"/>
          <w:szCs w:val="24"/>
        </w:rPr>
        <w:t xml:space="preserve">  This type of household </w:t>
      </w:r>
      <w:r w:rsidR="00B45962" w:rsidRPr="00473C61">
        <w:rPr>
          <w:rFonts w:ascii="Times New Roman" w:hAnsi="Times New Roman"/>
          <w:sz w:val="24"/>
          <w:szCs w:val="24"/>
        </w:rPr>
        <w:t>c</w:t>
      </w:r>
      <w:r w:rsidR="008C65EF" w:rsidRPr="00473C61">
        <w:rPr>
          <w:rFonts w:ascii="Times New Roman" w:hAnsi="Times New Roman"/>
          <w:sz w:val="24"/>
          <w:szCs w:val="24"/>
        </w:rPr>
        <w:t>ould be balancing their budget</w:t>
      </w:r>
      <w:r w:rsidR="005B3387" w:rsidRPr="00473C61">
        <w:rPr>
          <w:rFonts w:ascii="Times New Roman" w:hAnsi="Times New Roman"/>
          <w:sz w:val="24"/>
          <w:szCs w:val="24"/>
        </w:rPr>
        <w:t xml:space="preserve"> and </w:t>
      </w:r>
      <w:r w:rsidR="00B45962" w:rsidRPr="00473C61">
        <w:rPr>
          <w:rFonts w:ascii="Times New Roman" w:hAnsi="Times New Roman"/>
          <w:sz w:val="24"/>
          <w:szCs w:val="24"/>
        </w:rPr>
        <w:t>may</w:t>
      </w:r>
      <w:r w:rsidR="005B3387" w:rsidRPr="00473C61">
        <w:rPr>
          <w:rFonts w:ascii="Times New Roman" w:hAnsi="Times New Roman"/>
          <w:sz w:val="24"/>
          <w:szCs w:val="24"/>
        </w:rPr>
        <w:t xml:space="preserve"> not require financing</w:t>
      </w:r>
      <w:r w:rsidR="008C65EF" w:rsidRPr="00473C61">
        <w:rPr>
          <w:rFonts w:ascii="Times New Roman" w:hAnsi="Times New Roman"/>
          <w:sz w:val="24"/>
          <w:szCs w:val="24"/>
        </w:rPr>
        <w:t xml:space="preserve">. </w:t>
      </w:r>
      <w:r w:rsidR="005B3387" w:rsidRPr="00473C61">
        <w:rPr>
          <w:rFonts w:ascii="Times New Roman" w:hAnsi="Times New Roman"/>
          <w:sz w:val="24"/>
          <w:szCs w:val="24"/>
        </w:rPr>
        <w:t xml:space="preserve"> On the other hand, households </w:t>
      </w:r>
      <w:r w:rsidR="008F7670" w:rsidRPr="00473C61">
        <w:rPr>
          <w:rFonts w:ascii="Times New Roman" w:hAnsi="Times New Roman"/>
          <w:sz w:val="24"/>
          <w:szCs w:val="24"/>
        </w:rPr>
        <w:t xml:space="preserve">that </w:t>
      </w:r>
      <w:r w:rsidR="005B3387" w:rsidRPr="00473C61">
        <w:rPr>
          <w:rFonts w:ascii="Times New Roman" w:hAnsi="Times New Roman"/>
          <w:sz w:val="24"/>
          <w:szCs w:val="24"/>
        </w:rPr>
        <w:t xml:space="preserve">need financing may be rejected by the banks.  </w:t>
      </w:r>
      <w:r w:rsidR="005B3387" w:rsidRPr="00473C61">
        <w:rPr>
          <w:rFonts w:ascii="Times New Roman" w:hAnsi="Times New Roman"/>
          <w:sz w:val="24"/>
          <w:szCs w:val="24"/>
        </w:rPr>
        <w:lastRenderedPageBreak/>
        <w:t>This type of household would be excluded from the market involuntarily</w:t>
      </w:r>
      <w:r w:rsidR="005B3387" w:rsidRPr="00473C61">
        <w:rPr>
          <w:rStyle w:val="Rimandonotaapidipagina"/>
          <w:rFonts w:ascii="Times New Roman" w:hAnsi="Times New Roman"/>
          <w:sz w:val="24"/>
          <w:szCs w:val="24"/>
        </w:rPr>
        <w:footnoteReference w:id="10"/>
      </w:r>
      <w:r w:rsidR="005B3387" w:rsidRPr="00473C61">
        <w:rPr>
          <w:rFonts w:ascii="Times New Roman" w:hAnsi="Times New Roman"/>
          <w:sz w:val="24"/>
          <w:szCs w:val="24"/>
        </w:rPr>
        <w:t xml:space="preserve">.  Evidently there is a need to identify </w:t>
      </w:r>
      <w:r w:rsidR="00333AC3" w:rsidRPr="00473C61">
        <w:rPr>
          <w:rFonts w:ascii="Times New Roman" w:hAnsi="Times New Roman"/>
          <w:sz w:val="24"/>
          <w:szCs w:val="24"/>
        </w:rPr>
        <w:t xml:space="preserve">and control for </w:t>
      </w:r>
      <w:r w:rsidR="005B3387" w:rsidRPr="00473C61">
        <w:rPr>
          <w:rFonts w:ascii="Times New Roman" w:hAnsi="Times New Roman"/>
          <w:sz w:val="24"/>
          <w:szCs w:val="24"/>
        </w:rPr>
        <w:t xml:space="preserve">those households that may </w:t>
      </w:r>
      <w:r w:rsidR="009B5882" w:rsidRPr="00473C61">
        <w:rPr>
          <w:rFonts w:ascii="Times New Roman" w:hAnsi="Times New Roman"/>
          <w:sz w:val="24"/>
          <w:szCs w:val="24"/>
        </w:rPr>
        <w:t>require</w:t>
      </w:r>
      <w:r w:rsidR="00333AC3" w:rsidRPr="00473C61">
        <w:rPr>
          <w:rFonts w:ascii="Times New Roman" w:hAnsi="Times New Roman"/>
          <w:sz w:val="24"/>
          <w:szCs w:val="24"/>
        </w:rPr>
        <w:t xml:space="preserve"> </w:t>
      </w:r>
      <w:r w:rsidR="005B3387" w:rsidRPr="00473C61">
        <w:rPr>
          <w:rFonts w:ascii="Times New Roman" w:hAnsi="Times New Roman"/>
          <w:sz w:val="24"/>
          <w:szCs w:val="24"/>
        </w:rPr>
        <w:t xml:space="preserve">consumer finance.  </w:t>
      </w:r>
      <w:r w:rsidR="00333AC3" w:rsidRPr="00473C61">
        <w:rPr>
          <w:rFonts w:ascii="Times New Roman" w:hAnsi="Times New Roman"/>
          <w:sz w:val="24"/>
          <w:szCs w:val="24"/>
        </w:rPr>
        <w:t>We hypothe</w:t>
      </w:r>
      <w:r w:rsidR="00E63CF0" w:rsidRPr="00473C61">
        <w:rPr>
          <w:rFonts w:ascii="Times New Roman" w:hAnsi="Times New Roman"/>
          <w:sz w:val="24"/>
          <w:szCs w:val="24"/>
        </w:rPr>
        <w:t>size</w:t>
      </w:r>
      <w:r w:rsidR="00333AC3" w:rsidRPr="00473C61">
        <w:rPr>
          <w:rFonts w:ascii="Times New Roman" w:hAnsi="Times New Roman"/>
          <w:sz w:val="24"/>
          <w:szCs w:val="24"/>
        </w:rPr>
        <w:t xml:space="preserve"> </w:t>
      </w:r>
      <w:r w:rsidR="00E63CF0" w:rsidRPr="00473C61">
        <w:rPr>
          <w:rFonts w:ascii="Times New Roman" w:hAnsi="Times New Roman"/>
          <w:sz w:val="24"/>
          <w:szCs w:val="24"/>
        </w:rPr>
        <w:t>that household</w:t>
      </w:r>
      <w:r w:rsidR="008F7670" w:rsidRPr="00473C61">
        <w:rPr>
          <w:rFonts w:ascii="Times New Roman" w:hAnsi="Times New Roman"/>
          <w:sz w:val="24"/>
          <w:szCs w:val="24"/>
        </w:rPr>
        <w:t>s</w:t>
      </w:r>
      <w:r w:rsidR="00E63CF0" w:rsidRPr="00473C61">
        <w:rPr>
          <w:rFonts w:ascii="Times New Roman" w:hAnsi="Times New Roman"/>
          <w:sz w:val="24"/>
          <w:szCs w:val="24"/>
        </w:rPr>
        <w:t xml:space="preserve"> facing a budget deficit, those who spend more than their income, would apply for loans or credit cards.  We proxy the budget deficit </w:t>
      </w:r>
      <w:r w:rsidR="008F7670" w:rsidRPr="00473C61">
        <w:rPr>
          <w:rFonts w:ascii="Times New Roman" w:hAnsi="Times New Roman"/>
          <w:sz w:val="24"/>
          <w:szCs w:val="24"/>
        </w:rPr>
        <w:t>using an</w:t>
      </w:r>
      <w:r w:rsidR="00E63CF0" w:rsidRPr="00473C61">
        <w:rPr>
          <w:rFonts w:ascii="Times New Roman" w:hAnsi="Times New Roman"/>
          <w:sz w:val="24"/>
          <w:szCs w:val="24"/>
        </w:rPr>
        <w:t xml:space="preserve"> </w:t>
      </w:r>
      <w:r w:rsidR="00333AC3" w:rsidRPr="00473C61">
        <w:rPr>
          <w:rFonts w:ascii="Times New Roman" w:hAnsi="Times New Roman"/>
          <w:i/>
          <w:sz w:val="24"/>
          <w:szCs w:val="24"/>
        </w:rPr>
        <w:t>income gap</w:t>
      </w:r>
      <w:r w:rsidR="008F7670" w:rsidRPr="00473C61">
        <w:rPr>
          <w:rFonts w:ascii="Times New Roman" w:hAnsi="Times New Roman"/>
          <w:i/>
          <w:sz w:val="24"/>
          <w:szCs w:val="24"/>
        </w:rPr>
        <w:t xml:space="preserve"> </w:t>
      </w:r>
      <w:r w:rsidR="0096369E" w:rsidRPr="00473C61">
        <w:rPr>
          <w:rFonts w:ascii="Times New Roman" w:hAnsi="Times New Roman"/>
          <w:sz w:val="24"/>
          <w:szCs w:val="24"/>
        </w:rPr>
        <w:t>variable</w:t>
      </w:r>
      <w:r w:rsidR="00E63CF0" w:rsidRPr="00473C61">
        <w:rPr>
          <w:rFonts w:ascii="Times New Roman" w:hAnsi="Times New Roman"/>
          <w:sz w:val="24"/>
          <w:szCs w:val="24"/>
        </w:rPr>
        <w:t>: a dummy variable that takes</w:t>
      </w:r>
      <w:r w:rsidR="00333AC3" w:rsidRPr="00473C61">
        <w:rPr>
          <w:rFonts w:ascii="Times New Roman" w:hAnsi="Times New Roman"/>
          <w:sz w:val="24"/>
          <w:szCs w:val="24"/>
        </w:rPr>
        <w:t xml:space="preserve"> </w:t>
      </w:r>
      <w:r w:rsidR="00E63CF0" w:rsidRPr="00473C61">
        <w:rPr>
          <w:rFonts w:ascii="Times New Roman" w:hAnsi="Times New Roman"/>
          <w:sz w:val="24"/>
          <w:szCs w:val="24"/>
        </w:rPr>
        <w:t xml:space="preserve">the value 1 if household expenditure is </w:t>
      </w:r>
      <w:r w:rsidR="009E75A4" w:rsidRPr="00473C61">
        <w:rPr>
          <w:rFonts w:ascii="Times New Roman" w:hAnsi="Times New Roman"/>
          <w:sz w:val="24"/>
          <w:szCs w:val="24"/>
        </w:rPr>
        <w:t>more</w:t>
      </w:r>
      <w:r w:rsidR="00E63CF0" w:rsidRPr="00473C61">
        <w:rPr>
          <w:rFonts w:ascii="Times New Roman" w:hAnsi="Times New Roman"/>
          <w:sz w:val="24"/>
          <w:szCs w:val="24"/>
        </w:rPr>
        <w:t xml:space="preserve"> than its income and 0 otherwise</w:t>
      </w:r>
      <w:r w:rsidR="001729F1" w:rsidRPr="00473C61">
        <w:rPr>
          <w:rStyle w:val="Rimandonotaapidipagina"/>
          <w:rFonts w:ascii="Times New Roman" w:hAnsi="Times New Roman"/>
          <w:sz w:val="24"/>
          <w:szCs w:val="24"/>
        </w:rPr>
        <w:footnoteReference w:id="11"/>
      </w:r>
      <w:r w:rsidR="00E63CF0" w:rsidRPr="00473C61">
        <w:rPr>
          <w:rFonts w:ascii="Times New Roman" w:hAnsi="Times New Roman"/>
          <w:sz w:val="24"/>
          <w:szCs w:val="24"/>
        </w:rPr>
        <w:t xml:space="preserve">.  However, </w:t>
      </w:r>
      <w:r w:rsidR="00B93484" w:rsidRPr="00473C61">
        <w:rPr>
          <w:rFonts w:ascii="Times New Roman" w:hAnsi="Times New Roman"/>
          <w:i/>
          <w:sz w:val="24"/>
          <w:szCs w:val="24"/>
        </w:rPr>
        <w:t>income gap</w:t>
      </w:r>
      <w:r w:rsidR="00B93484" w:rsidRPr="00473C61">
        <w:rPr>
          <w:rFonts w:ascii="Times New Roman" w:hAnsi="Times New Roman"/>
          <w:sz w:val="24"/>
          <w:szCs w:val="24"/>
        </w:rPr>
        <w:t xml:space="preserve"> </w:t>
      </w:r>
      <w:r w:rsidR="00E63CF0" w:rsidRPr="00473C61">
        <w:rPr>
          <w:rFonts w:ascii="Times New Roman" w:hAnsi="Times New Roman"/>
          <w:sz w:val="24"/>
          <w:szCs w:val="24"/>
        </w:rPr>
        <w:t>i</w:t>
      </w:r>
      <w:r w:rsidR="00B93484" w:rsidRPr="00473C61">
        <w:rPr>
          <w:rFonts w:ascii="Times New Roman" w:hAnsi="Times New Roman"/>
          <w:sz w:val="24"/>
          <w:szCs w:val="24"/>
        </w:rPr>
        <w:t>s itself an endogenous variable</w:t>
      </w:r>
      <w:r w:rsidR="008F7670" w:rsidRPr="00473C61">
        <w:rPr>
          <w:rFonts w:ascii="Times New Roman" w:hAnsi="Times New Roman"/>
          <w:sz w:val="24"/>
          <w:szCs w:val="24"/>
        </w:rPr>
        <w:t xml:space="preserve"> as such we</w:t>
      </w:r>
      <w:r w:rsidR="00B93484" w:rsidRPr="00473C61">
        <w:rPr>
          <w:rFonts w:ascii="Times New Roman" w:hAnsi="Times New Roman"/>
          <w:sz w:val="24"/>
          <w:szCs w:val="24"/>
        </w:rPr>
        <w:t xml:space="preserve"> </w:t>
      </w:r>
      <w:r w:rsidR="004B7ADE" w:rsidRPr="00473C61">
        <w:rPr>
          <w:rFonts w:ascii="Times New Roman" w:hAnsi="Times New Roman"/>
          <w:sz w:val="24"/>
          <w:szCs w:val="24"/>
        </w:rPr>
        <w:t xml:space="preserve">introduce a </w:t>
      </w:r>
      <w:r w:rsidR="00B93484" w:rsidRPr="00473C61">
        <w:rPr>
          <w:rFonts w:ascii="Times New Roman" w:hAnsi="Times New Roman"/>
          <w:sz w:val="24"/>
          <w:szCs w:val="24"/>
        </w:rPr>
        <w:t>treatment effect</w:t>
      </w:r>
      <w:r w:rsidR="00073F56" w:rsidRPr="00473C61">
        <w:rPr>
          <w:rFonts w:ascii="Times New Roman" w:hAnsi="Times New Roman"/>
          <w:sz w:val="24"/>
          <w:szCs w:val="24"/>
        </w:rPr>
        <w:t>s</w:t>
      </w:r>
      <w:r w:rsidR="00B93484" w:rsidRPr="00473C61">
        <w:rPr>
          <w:rFonts w:ascii="Times New Roman" w:hAnsi="Times New Roman"/>
          <w:sz w:val="24"/>
          <w:szCs w:val="24"/>
        </w:rPr>
        <w:t xml:space="preserve"> model</w:t>
      </w:r>
      <w:r w:rsidR="004B7ADE" w:rsidRPr="00473C61">
        <w:rPr>
          <w:rFonts w:ascii="Times New Roman" w:hAnsi="Times New Roman"/>
          <w:sz w:val="24"/>
          <w:szCs w:val="24"/>
        </w:rPr>
        <w:t xml:space="preserve"> </w:t>
      </w:r>
      <w:r w:rsidR="008F7670" w:rsidRPr="00473C61">
        <w:rPr>
          <w:rFonts w:ascii="Times New Roman" w:hAnsi="Times New Roman"/>
          <w:sz w:val="24"/>
          <w:szCs w:val="24"/>
        </w:rPr>
        <w:t xml:space="preserve">to deal with this potential bias. The treatment model is </w:t>
      </w:r>
      <w:r w:rsidR="004B7ADE" w:rsidRPr="00473C61">
        <w:rPr>
          <w:rFonts w:ascii="Times New Roman" w:hAnsi="Times New Roman"/>
          <w:sz w:val="24"/>
          <w:szCs w:val="24"/>
        </w:rPr>
        <w:t xml:space="preserve">defined </w:t>
      </w:r>
      <w:r w:rsidR="008448AE" w:rsidRPr="00473C61">
        <w:rPr>
          <w:rFonts w:ascii="Times New Roman" w:hAnsi="Times New Roman"/>
          <w:sz w:val="24"/>
          <w:szCs w:val="24"/>
        </w:rPr>
        <w:t xml:space="preserve">in two equations </w:t>
      </w:r>
      <w:r w:rsidR="004B7ADE" w:rsidRPr="00473C61">
        <w:rPr>
          <w:rFonts w:ascii="Times New Roman" w:hAnsi="Times New Roman"/>
          <w:sz w:val="24"/>
          <w:szCs w:val="24"/>
        </w:rPr>
        <w:t>below</w:t>
      </w:r>
      <w:r w:rsidR="00B93484" w:rsidRPr="00473C61">
        <w:rPr>
          <w:rFonts w:ascii="Times New Roman" w:hAnsi="Times New Roman"/>
          <w:sz w:val="24"/>
          <w:szCs w:val="24"/>
        </w:rPr>
        <w:t xml:space="preserve">:   </w:t>
      </w:r>
    </w:p>
    <w:p w:rsidR="004B7ADE" w:rsidRPr="00473C61" w:rsidRDefault="001972E0" w:rsidP="004B7ADE">
      <w:pPr>
        <w:spacing w:after="0" w:line="480" w:lineRule="auto"/>
        <w:jc w:val="center"/>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NF</m:t>
            </m:r>
          </m:e>
          <m:sub>
            <m:r>
              <w:rPr>
                <w:rFonts w:ascii="Cambria Math" w:hAnsi="Cambria Math"/>
                <w:sz w:val="24"/>
                <w:szCs w:val="24"/>
              </w:rPr>
              <m:t>i</m:t>
            </m:r>
          </m:sub>
        </m:sSub>
        <m:r>
          <w:rPr>
            <w:rFonts w:ascii="Cambria Math" w:hAnsi="Times New Roman"/>
            <w:sz w:val="24"/>
            <w:szCs w:val="24"/>
          </w:rPr>
          <m:t xml:space="preserve">= </m:t>
        </m:r>
        <m:r>
          <w:rPr>
            <w:rFonts w:ascii="Cambria Math" w:hAnsi="Cambria Math"/>
            <w:sz w:val="24"/>
            <w:szCs w:val="24"/>
          </w:rPr>
          <m:t>β</m:t>
        </m:r>
        <m:sSub>
          <m:sSubPr>
            <m:ctrlPr>
              <w:rPr>
                <w:rFonts w:ascii="Cambria Math" w:hAnsi="Times New Roman"/>
                <w:i/>
                <w:sz w:val="24"/>
                <w:szCs w:val="24"/>
              </w:rPr>
            </m:ctrlPr>
          </m:sSubPr>
          <m:e>
            <m:r>
              <w:rPr>
                <w:rFonts w:ascii="Cambria Math" w:hAnsi="Cambria Math"/>
                <w:sz w:val="24"/>
                <w:szCs w:val="24"/>
              </w:rPr>
              <m:t>H</m:t>
            </m:r>
          </m:e>
          <m:sub>
            <m:r>
              <w:rPr>
                <w:rFonts w:ascii="Cambria Math" w:hAnsi="Cambria Math"/>
                <w:sz w:val="24"/>
                <w:szCs w:val="24"/>
              </w:rPr>
              <m:t>i</m:t>
            </m:r>
          </m:sub>
        </m:sSub>
        <m:r>
          <w:rPr>
            <w:rFonts w:ascii="Cambria Math" w:hAnsi="Times New Roman"/>
            <w:sz w:val="24"/>
            <w:szCs w:val="24"/>
          </w:rPr>
          <m:t>+</m:t>
        </m:r>
        <m:r>
          <w:rPr>
            <w:rFonts w:ascii="Cambria Math" w:hAnsi="Cambria Math"/>
            <w:sz w:val="24"/>
            <w:szCs w:val="24"/>
          </w:rPr>
          <m:t>θ</m:t>
        </m:r>
        <m:sSub>
          <m:sSubPr>
            <m:ctrlPr>
              <w:rPr>
                <w:rFonts w:ascii="Cambria Math" w:hAnsi="Times New Roman"/>
                <w:i/>
                <w:sz w:val="24"/>
                <w:szCs w:val="24"/>
              </w:rPr>
            </m:ctrlPr>
          </m:sSubPr>
          <m:e>
            <m:r>
              <w:rPr>
                <w:rFonts w:ascii="Cambria Math" w:hAnsi="Cambria Math"/>
                <w:sz w:val="24"/>
                <w:szCs w:val="24"/>
              </w:rPr>
              <m:t>I</m:t>
            </m:r>
          </m:e>
          <m:sub>
            <m:r>
              <w:rPr>
                <w:rFonts w:ascii="Cambria Math" w:hAnsi="Cambria Math"/>
                <w:sz w:val="24"/>
                <w:szCs w:val="24"/>
              </w:rPr>
              <m:t>i</m:t>
            </m:r>
          </m:sub>
        </m:sSub>
        <m:r>
          <w:rPr>
            <w:rFonts w:ascii="Cambria Math" w:hAnsi="Times New Roman"/>
            <w:sz w:val="24"/>
            <w:szCs w:val="24"/>
          </w:rPr>
          <m:t>+</m:t>
        </m:r>
        <m:r>
          <w:rPr>
            <w:rFonts w:ascii="Cambria Math" w:hAnsi="Cambria Math"/>
            <w:sz w:val="24"/>
            <w:szCs w:val="24"/>
          </w:rPr>
          <m:t>δ</m:t>
        </m:r>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i</m:t>
            </m:r>
          </m:sub>
        </m:sSub>
        <m:r>
          <w:rPr>
            <w:rFonts w:ascii="Cambria Math" w:hAnsi="Times New Roman"/>
            <w:sz w:val="24"/>
            <w:szCs w:val="24"/>
          </w:rPr>
          <m:t>+</m:t>
        </m:r>
        <m:r>
          <w:rPr>
            <w:rFonts w:ascii="Cambria Math" w:hAnsi="Cambria Math"/>
            <w:sz w:val="24"/>
            <w:szCs w:val="24"/>
          </w:rPr>
          <m:t>γ</m:t>
        </m:r>
        <m:sSub>
          <m:sSubPr>
            <m:ctrlPr>
              <w:rPr>
                <w:rFonts w:ascii="Cambria Math" w:hAnsi="Times New Roman"/>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ε</m:t>
            </m:r>
          </m:e>
          <m:sub>
            <m:r>
              <w:rPr>
                <w:rFonts w:ascii="Cambria Math" w:hAnsi="Cambria Math"/>
                <w:sz w:val="24"/>
                <w:szCs w:val="24"/>
              </w:rPr>
              <m:t>i</m:t>
            </m:r>
          </m:sub>
        </m:sSub>
      </m:oMath>
      <w:r w:rsidR="008F7670" w:rsidRPr="00473C61">
        <w:rPr>
          <w:rFonts w:ascii="Times New Roman" w:hAnsi="Times New Roman"/>
          <w:sz w:val="24"/>
          <w:szCs w:val="24"/>
        </w:rPr>
        <w:tab/>
        <w:t xml:space="preserve">  (2)</w:t>
      </w:r>
    </w:p>
    <w:p w:rsidR="004B7ADE" w:rsidRPr="00473C61" w:rsidRDefault="001972E0" w:rsidP="004B7ADE">
      <w:pPr>
        <w:spacing w:after="0" w:line="480" w:lineRule="auto"/>
        <w:jc w:val="center"/>
        <w:rPr>
          <w:rFonts w:ascii="Times New Roman" w:hAnsi="Times New Roman"/>
          <w:sz w:val="24"/>
          <w:szCs w:val="24"/>
        </w:rPr>
      </w:pPr>
      <m:oMath>
        <m:sSubSup>
          <m:sSubSupPr>
            <m:ctrlPr>
              <w:rPr>
                <w:rFonts w:ascii="Cambria Math" w:hAnsi="Times New Roman"/>
                <w:i/>
                <w:sz w:val="24"/>
                <w:szCs w:val="24"/>
              </w:rPr>
            </m:ctrlPr>
          </m:sSubSupPr>
          <m:e>
            <m:r>
              <w:rPr>
                <w:rFonts w:ascii="Cambria Math" w:hAnsi="Cambria Math"/>
                <w:sz w:val="24"/>
                <w:szCs w:val="24"/>
              </w:rPr>
              <m:t>I</m:t>
            </m:r>
          </m:e>
          <m:sub>
            <m:r>
              <w:rPr>
                <w:rFonts w:ascii="Cambria Math" w:hAnsi="Cambria Math"/>
                <w:sz w:val="24"/>
                <w:szCs w:val="24"/>
              </w:rPr>
              <m:t>i</m:t>
            </m:r>
          </m:sub>
          <m:sup>
            <m:r>
              <w:rPr>
                <w:rFonts w:ascii="Times New Roman" w:hAnsi="Cambria Math"/>
                <w:sz w:val="24"/>
                <w:szCs w:val="24"/>
              </w:rPr>
              <m:t>*</m:t>
            </m:r>
          </m:sup>
        </m:sSubSup>
        <m:r>
          <w:rPr>
            <w:rFonts w:ascii="Cambria Math" w:hAnsi="Times New Roman"/>
            <w:sz w:val="24"/>
            <w:szCs w:val="24"/>
          </w:rPr>
          <m:t xml:space="preserve">= </m:t>
        </m:r>
        <m:r>
          <w:rPr>
            <w:rFonts w:ascii="Cambria Math" w:hAnsi="Cambria Math"/>
            <w:sz w:val="24"/>
            <w:szCs w:val="24"/>
          </w:rPr>
          <m:t>α</m:t>
        </m:r>
        <m:sSub>
          <m:sSubPr>
            <m:ctrlPr>
              <w:rPr>
                <w:rFonts w:ascii="Cambria Math" w:hAnsi="Times New Roman"/>
                <w:i/>
                <w:sz w:val="24"/>
                <w:szCs w:val="24"/>
              </w:rPr>
            </m:ctrlPr>
          </m:sSubPr>
          <m:e>
            <m:r>
              <w:rPr>
                <w:rFonts w:ascii="Cambria Math" w:hAnsi="Cambria Math"/>
                <w:sz w:val="24"/>
                <w:szCs w:val="24"/>
              </w:rPr>
              <m:t>Z</m:t>
            </m:r>
          </m:e>
          <m:sub>
            <m:r>
              <w:rPr>
                <w:rFonts w:ascii="Cambria Math" w:hAnsi="Cambria Math"/>
                <w:sz w:val="24"/>
                <w:szCs w:val="24"/>
              </w:rPr>
              <m:t>i</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μ</m:t>
            </m:r>
          </m:e>
          <m:sub>
            <m:r>
              <w:rPr>
                <w:rFonts w:ascii="Cambria Math" w:hAnsi="Cambria Math"/>
                <w:sz w:val="24"/>
                <w:szCs w:val="24"/>
              </w:rPr>
              <m:t>i</m:t>
            </m:r>
          </m:sub>
        </m:sSub>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Times New Roman"/>
                <w:sz w:val="24"/>
                <w:szCs w:val="24"/>
              </w:rPr>
              <m:t xml:space="preserve"> </m:t>
            </m:r>
            <m:r>
              <w:rPr>
                <w:rFonts w:ascii="Cambria Math" w:hAnsi="Cambria Math"/>
                <w:sz w:val="24"/>
                <w:szCs w:val="24"/>
              </w:rPr>
              <m:t>I</m:t>
            </m:r>
          </m:e>
          <m:sub>
            <m:r>
              <w:rPr>
                <w:rFonts w:ascii="Cambria Math" w:hAnsi="Cambria Math"/>
                <w:sz w:val="24"/>
                <w:szCs w:val="24"/>
              </w:rPr>
              <m:t>i</m:t>
            </m:r>
          </m:sub>
        </m:sSub>
        <m:r>
          <w:rPr>
            <w:rFonts w:ascii="Cambria Math" w:hAnsi="Times New Roman"/>
            <w:sz w:val="24"/>
            <w:szCs w:val="24"/>
          </w:rPr>
          <m:t xml:space="preserve">=1 </m:t>
        </m:r>
        <m:r>
          <m:rPr>
            <m:sty m:val="p"/>
          </m:rPr>
          <w:rPr>
            <w:rFonts w:ascii="Cambria Math" w:hAnsi="Times New Roman"/>
            <w:sz w:val="24"/>
            <w:szCs w:val="24"/>
          </w:rPr>
          <m:t>if</m:t>
        </m:r>
        <m:r>
          <w:rPr>
            <w:rFonts w:ascii="Cambria Math" w:hAnsi="Times New Roman"/>
            <w:sz w:val="24"/>
            <w:szCs w:val="24"/>
          </w:rPr>
          <m:t xml:space="preserve"> </m:t>
        </m:r>
        <m:sSubSup>
          <m:sSubSupPr>
            <m:ctrlPr>
              <w:rPr>
                <w:rFonts w:ascii="Cambria Math" w:hAnsi="Times New Roman"/>
                <w:i/>
                <w:sz w:val="24"/>
                <w:szCs w:val="24"/>
              </w:rPr>
            </m:ctrlPr>
          </m:sSubSupPr>
          <m:e>
            <m:r>
              <w:rPr>
                <w:rFonts w:ascii="Cambria Math" w:hAnsi="Cambria Math"/>
                <w:sz w:val="24"/>
                <w:szCs w:val="24"/>
              </w:rPr>
              <m:t>I</m:t>
            </m:r>
          </m:e>
          <m:sub>
            <m:r>
              <w:rPr>
                <w:rFonts w:ascii="Cambria Math" w:hAnsi="Cambria Math"/>
                <w:sz w:val="24"/>
                <w:szCs w:val="24"/>
              </w:rPr>
              <m:t>i</m:t>
            </m:r>
          </m:sub>
          <m:sup>
            <m:r>
              <w:rPr>
                <w:rFonts w:ascii="Times New Roman" w:hAnsi="Cambria Math"/>
                <w:sz w:val="24"/>
                <w:szCs w:val="24"/>
              </w:rPr>
              <m:t>*</m:t>
            </m:r>
          </m:sup>
        </m:sSubSup>
        <m:r>
          <m:rPr>
            <m:sty m:val="p"/>
          </m:rPr>
          <w:rPr>
            <w:rFonts w:ascii="Cambria Math" w:hAnsi="Times New Roman"/>
            <w:sz w:val="24"/>
            <w:szCs w:val="24"/>
          </w:rPr>
          <m:t>&gt;</m:t>
        </m:r>
        <m:r>
          <w:rPr>
            <w:rFonts w:ascii="Cambria Math" w:hAnsi="Times New Roman"/>
            <w:sz w:val="24"/>
            <w:szCs w:val="24"/>
          </w:rPr>
          <m:t xml:space="preserve">0, </m:t>
        </m:r>
        <m:r>
          <m:rPr>
            <m:sty m:val="p"/>
          </m:rPr>
          <w:rPr>
            <w:rFonts w:ascii="Cambria Math" w:hAnsi="Times New Roman"/>
            <w:sz w:val="24"/>
            <w:szCs w:val="24"/>
          </w:rPr>
          <m:t>and</m:t>
        </m:r>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I</m:t>
            </m:r>
          </m:e>
          <m:sub>
            <m:r>
              <w:rPr>
                <w:rFonts w:ascii="Cambria Math" w:hAnsi="Cambria Math"/>
                <w:sz w:val="24"/>
                <w:szCs w:val="24"/>
              </w:rPr>
              <m:t>i</m:t>
            </m:r>
          </m:sub>
        </m:sSub>
        <m:r>
          <m:rPr>
            <m:sty m:val="p"/>
          </m:rPr>
          <w:rPr>
            <w:rFonts w:ascii="Cambria Math" w:hAnsi="Times New Roman"/>
            <w:sz w:val="24"/>
            <w:szCs w:val="24"/>
          </w:rPr>
          <m:t>=0</m:t>
        </m:r>
        <m:r>
          <w:rPr>
            <w:rFonts w:ascii="Cambria Math" w:hAnsi="Times New Roman"/>
            <w:sz w:val="24"/>
            <w:szCs w:val="24"/>
          </w:rPr>
          <m:t xml:space="preserve"> </m:t>
        </m:r>
        <m:r>
          <m:rPr>
            <m:sty m:val="p"/>
          </m:rPr>
          <w:rPr>
            <w:rFonts w:ascii="Cambria Math" w:hAnsi="Times New Roman"/>
            <w:sz w:val="24"/>
            <w:szCs w:val="24"/>
          </w:rPr>
          <m:t>otherwise</m:t>
        </m:r>
      </m:oMath>
      <w:r w:rsidR="008F7670" w:rsidRPr="00473C61">
        <w:rPr>
          <w:rFonts w:ascii="Times New Roman" w:hAnsi="Times New Roman"/>
          <w:sz w:val="24"/>
          <w:szCs w:val="24"/>
        </w:rPr>
        <w:t xml:space="preserve">      (3)</w:t>
      </w:r>
    </w:p>
    <w:p w:rsidR="00DA1F11" w:rsidRPr="00473C61" w:rsidRDefault="00DA1F11" w:rsidP="00AC71A5">
      <w:pPr>
        <w:spacing w:after="0" w:line="480" w:lineRule="auto"/>
        <w:rPr>
          <w:rFonts w:ascii="Times New Roman" w:hAnsi="Times New Roman"/>
          <w:sz w:val="24"/>
          <w:szCs w:val="24"/>
        </w:rPr>
      </w:pPr>
    </w:p>
    <w:p w:rsidR="003128D1" w:rsidRPr="00473C61" w:rsidRDefault="00DA1F11" w:rsidP="003128D1">
      <w:pPr>
        <w:spacing w:after="0" w:line="480" w:lineRule="auto"/>
        <w:jc w:val="both"/>
        <w:rPr>
          <w:rFonts w:ascii="Times New Roman" w:hAnsi="Times New Roman"/>
          <w:sz w:val="24"/>
          <w:szCs w:val="24"/>
        </w:rPr>
      </w:pPr>
      <w:r w:rsidRPr="00473C61">
        <w:rPr>
          <w:rFonts w:ascii="Times New Roman" w:hAnsi="Times New Roman"/>
          <w:sz w:val="24"/>
          <w:szCs w:val="24"/>
        </w:rPr>
        <w:t>W</w:t>
      </w:r>
      <w:r w:rsidR="008448AE" w:rsidRPr="00473C61">
        <w:rPr>
          <w:rFonts w:ascii="Times New Roman" w:hAnsi="Times New Roman"/>
          <w:sz w:val="24"/>
          <w:szCs w:val="24"/>
        </w:rPr>
        <w:t xml:space="preserve">here, </w:t>
      </w:r>
      <w:r w:rsidR="00CE55DA" w:rsidRPr="00473C61">
        <w:rPr>
          <w:rFonts w:ascii="Times New Roman" w:hAnsi="Times New Roman"/>
          <w:i/>
          <w:sz w:val="24"/>
          <w:szCs w:val="24"/>
        </w:rPr>
        <w:t>I</w:t>
      </w:r>
      <w:r w:rsidR="008448AE" w:rsidRPr="00473C61">
        <w:rPr>
          <w:rFonts w:ascii="Times New Roman" w:hAnsi="Times New Roman"/>
          <w:i/>
          <w:sz w:val="24"/>
          <w:szCs w:val="24"/>
          <w:vertAlign w:val="subscript"/>
        </w:rPr>
        <w:t>i</w:t>
      </w:r>
      <w:r w:rsidR="008448AE" w:rsidRPr="00473C61">
        <w:rPr>
          <w:rFonts w:ascii="Times New Roman" w:hAnsi="Times New Roman"/>
          <w:i/>
          <w:sz w:val="24"/>
          <w:szCs w:val="24"/>
        </w:rPr>
        <w:t xml:space="preserve"> </w:t>
      </w:r>
      <w:r w:rsidR="008448AE" w:rsidRPr="00473C61">
        <w:rPr>
          <w:rFonts w:ascii="Times New Roman" w:hAnsi="Times New Roman"/>
          <w:sz w:val="24"/>
          <w:szCs w:val="24"/>
        </w:rPr>
        <w:t xml:space="preserve">is the </w:t>
      </w:r>
      <w:r w:rsidR="008448AE" w:rsidRPr="00473C61">
        <w:rPr>
          <w:rFonts w:ascii="Times New Roman" w:hAnsi="Times New Roman"/>
          <w:i/>
          <w:sz w:val="24"/>
          <w:szCs w:val="24"/>
        </w:rPr>
        <w:t>income gap</w:t>
      </w:r>
      <w:r w:rsidR="008448AE" w:rsidRPr="00473C61">
        <w:rPr>
          <w:rFonts w:ascii="Times New Roman" w:hAnsi="Times New Roman"/>
          <w:sz w:val="24"/>
          <w:szCs w:val="24"/>
        </w:rPr>
        <w:t xml:space="preserve"> and </w:t>
      </w:r>
      <w:r w:rsidR="008448AE" w:rsidRPr="00473C61">
        <w:rPr>
          <w:rFonts w:ascii="Times New Roman" w:hAnsi="Times New Roman"/>
          <w:i/>
          <w:sz w:val="24"/>
          <w:szCs w:val="24"/>
        </w:rPr>
        <w:t>Z</w:t>
      </w:r>
      <w:r w:rsidR="008448AE" w:rsidRPr="00473C61">
        <w:rPr>
          <w:rFonts w:ascii="Times New Roman" w:hAnsi="Times New Roman"/>
          <w:sz w:val="24"/>
          <w:szCs w:val="24"/>
          <w:vertAlign w:val="subscript"/>
        </w:rPr>
        <w:t>i</w:t>
      </w:r>
      <w:r w:rsidR="008448AE" w:rsidRPr="00473C61">
        <w:rPr>
          <w:rFonts w:ascii="Times New Roman" w:hAnsi="Times New Roman"/>
          <w:sz w:val="24"/>
          <w:szCs w:val="24"/>
        </w:rPr>
        <w:t xml:space="preserve"> </w:t>
      </w:r>
      <w:r w:rsidR="006D5C23" w:rsidRPr="00473C61">
        <w:rPr>
          <w:rFonts w:ascii="Times New Roman" w:hAnsi="Times New Roman"/>
          <w:sz w:val="24"/>
          <w:szCs w:val="24"/>
        </w:rPr>
        <w:t>a vector of household characteristics that may influence the budget</w:t>
      </w:r>
      <w:r w:rsidR="00A70A71" w:rsidRPr="00473C61">
        <w:rPr>
          <w:rFonts w:ascii="Times New Roman" w:hAnsi="Times New Roman"/>
          <w:sz w:val="24"/>
          <w:szCs w:val="24"/>
        </w:rPr>
        <w:t xml:space="preserve"> deficit</w:t>
      </w:r>
      <w:r w:rsidR="006D5C23" w:rsidRPr="00473C61">
        <w:rPr>
          <w:rFonts w:ascii="Times New Roman" w:hAnsi="Times New Roman"/>
          <w:sz w:val="24"/>
          <w:szCs w:val="24"/>
        </w:rPr>
        <w:t xml:space="preserve">.  We identify </w:t>
      </w:r>
      <w:r w:rsidR="006D5C23" w:rsidRPr="00473C61">
        <w:rPr>
          <w:rFonts w:ascii="Times New Roman" w:hAnsi="Times New Roman"/>
          <w:i/>
          <w:sz w:val="24"/>
          <w:szCs w:val="24"/>
        </w:rPr>
        <w:t>age</w:t>
      </w:r>
      <w:r w:rsidR="00C15AD8" w:rsidRPr="00473C61">
        <w:rPr>
          <w:rFonts w:ascii="Times New Roman" w:hAnsi="Times New Roman"/>
          <w:i/>
          <w:sz w:val="24"/>
          <w:szCs w:val="24"/>
        </w:rPr>
        <w:t xml:space="preserve"> </w:t>
      </w:r>
      <w:r w:rsidR="00C15AD8" w:rsidRPr="00473C61">
        <w:rPr>
          <w:rFonts w:ascii="Times New Roman" w:hAnsi="Times New Roman"/>
          <w:sz w:val="24"/>
          <w:szCs w:val="24"/>
        </w:rPr>
        <w:t>(continuous)</w:t>
      </w:r>
      <w:r w:rsidR="006D5C23" w:rsidRPr="00473C61">
        <w:rPr>
          <w:rFonts w:ascii="Times New Roman" w:hAnsi="Times New Roman"/>
          <w:sz w:val="24"/>
          <w:szCs w:val="24"/>
        </w:rPr>
        <w:t xml:space="preserve">, </w:t>
      </w:r>
      <w:r w:rsidR="006D5C23" w:rsidRPr="00473C61">
        <w:rPr>
          <w:rFonts w:ascii="Times New Roman" w:hAnsi="Times New Roman"/>
          <w:i/>
          <w:sz w:val="24"/>
          <w:szCs w:val="24"/>
        </w:rPr>
        <w:t>household size</w:t>
      </w:r>
      <w:r w:rsidR="006D5C23" w:rsidRPr="00473C61">
        <w:rPr>
          <w:rFonts w:ascii="Times New Roman" w:hAnsi="Times New Roman"/>
          <w:sz w:val="24"/>
          <w:szCs w:val="24"/>
        </w:rPr>
        <w:t xml:space="preserve">, </w:t>
      </w:r>
      <w:r w:rsidR="006D5C23" w:rsidRPr="00473C61">
        <w:rPr>
          <w:rFonts w:ascii="Times New Roman" w:hAnsi="Times New Roman"/>
          <w:i/>
          <w:sz w:val="24"/>
          <w:szCs w:val="24"/>
        </w:rPr>
        <w:t>incom</w:t>
      </w:r>
      <w:r w:rsidR="00924E71" w:rsidRPr="00473C61">
        <w:rPr>
          <w:rFonts w:ascii="Times New Roman" w:hAnsi="Times New Roman"/>
          <w:i/>
          <w:sz w:val="24"/>
          <w:szCs w:val="24"/>
        </w:rPr>
        <w:t xml:space="preserve">e, </w:t>
      </w:r>
      <w:r w:rsidR="006D5C23" w:rsidRPr="00473C61">
        <w:rPr>
          <w:rFonts w:ascii="Times New Roman" w:hAnsi="Times New Roman"/>
          <w:i/>
          <w:sz w:val="24"/>
          <w:szCs w:val="24"/>
        </w:rPr>
        <w:t>expenditure</w:t>
      </w:r>
      <w:r w:rsidR="006D5C23" w:rsidRPr="00473C61">
        <w:rPr>
          <w:rFonts w:ascii="Times New Roman" w:hAnsi="Times New Roman"/>
          <w:sz w:val="24"/>
          <w:szCs w:val="24"/>
        </w:rPr>
        <w:t>,</w:t>
      </w:r>
      <w:r w:rsidR="00924E71" w:rsidRPr="00473C61">
        <w:rPr>
          <w:rFonts w:ascii="Times New Roman" w:hAnsi="Times New Roman"/>
          <w:sz w:val="24"/>
          <w:szCs w:val="24"/>
        </w:rPr>
        <w:t xml:space="preserve"> existence of savings, life insurance, </w:t>
      </w:r>
      <w:r w:rsidR="00C15AD8" w:rsidRPr="00473C61">
        <w:rPr>
          <w:rFonts w:ascii="Times New Roman" w:hAnsi="Times New Roman"/>
          <w:sz w:val="24"/>
          <w:szCs w:val="24"/>
        </w:rPr>
        <w:t xml:space="preserve">and </w:t>
      </w:r>
      <w:r w:rsidR="00924E71" w:rsidRPr="00473C61">
        <w:rPr>
          <w:rFonts w:ascii="Times New Roman" w:hAnsi="Times New Roman"/>
          <w:sz w:val="24"/>
          <w:szCs w:val="24"/>
        </w:rPr>
        <w:t>private pension plan</w:t>
      </w:r>
      <w:r w:rsidR="00304B7A" w:rsidRPr="00473C61">
        <w:rPr>
          <w:rFonts w:ascii="Times New Roman" w:hAnsi="Times New Roman"/>
          <w:sz w:val="24"/>
          <w:szCs w:val="24"/>
        </w:rPr>
        <w:t xml:space="preserve"> </w:t>
      </w:r>
      <w:r w:rsidR="006D5C23" w:rsidRPr="00473C61">
        <w:rPr>
          <w:rFonts w:ascii="Times New Roman" w:hAnsi="Times New Roman"/>
          <w:sz w:val="24"/>
          <w:szCs w:val="24"/>
        </w:rPr>
        <w:t xml:space="preserve">as the main determinants of </w:t>
      </w:r>
      <w:r w:rsidR="006D5C23" w:rsidRPr="00473C61">
        <w:rPr>
          <w:rFonts w:ascii="Times New Roman" w:hAnsi="Times New Roman"/>
          <w:i/>
          <w:sz w:val="24"/>
          <w:szCs w:val="24"/>
        </w:rPr>
        <w:t xml:space="preserve">income </w:t>
      </w:r>
      <w:r w:rsidR="00073F56" w:rsidRPr="00473C61">
        <w:rPr>
          <w:rFonts w:ascii="Times New Roman" w:hAnsi="Times New Roman"/>
          <w:i/>
          <w:sz w:val="24"/>
          <w:szCs w:val="24"/>
        </w:rPr>
        <w:t xml:space="preserve">gap </w:t>
      </w:r>
      <w:r w:rsidR="00073F56" w:rsidRPr="00473C61">
        <w:rPr>
          <w:rFonts w:ascii="Times New Roman" w:hAnsi="Times New Roman"/>
          <w:sz w:val="24"/>
          <w:szCs w:val="24"/>
        </w:rPr>
        <w:t>and</w:t>
      </w:r>
      <w:r w:rsidRPr="00473C61">
        <w:rPr>
          <w:rFonts w:ascii="Times New Roman" w:hAnsi="Times New Roman"/>
          <w:sz w:val="24"/>
          <w:szCs w:val="24"/>
        </w:rPr>
        <w:t xml:space="preserve"> use</w:t>
      </w:r>
      <w:r w:rsidR="00AC71A5" w:rsidRPr="00473C61">
        <w:rPr>
          <w:rFonts w:ascii="Times New Roman" w:hAnsi="Times New Roman"/>
          <w:sz w:val="24"/>
          <w:szCs w:val="24"/>
        </w:rPr>
        <w:t xml:space="preserve"> a two-step procedure </w:t>
      </w:r>
      <w:r w:rsidR="00717C0E" w:rsidRPr="00473C61">
        <w:rPr>
          <w:rFonts w:ascii="Times New Roman" w:hAnsi="Times New Roman"/>
          <w:sz w:val="24"/>
          <w:szCs w:val="24"/>
        </w:rPr>
        <w:t xml:space="preserve">to estimate the </w:t>
      </w:r>
      <w:r w:rsidR="00073F56" w:rsidRPr="00473C61">
        <w:rPr>
          <w:rFonts w:ascii="Times New Roman" w:hAnsi="Times New Roman"/>
          <w:sz w:val="24"/>
          <w:szCs w:val="24"/>
        </w:rPr>
        <w:t>c</w:t>
      </w:r>
      <w:r w:rsidR="00717C0E" w:rsidRPr="00473C61">
        <w:rPr>
          <w:rFonts w:ascii="Times New Roman" w:hAnsi="Times New Roman"/>
          <w:sz w:val="24"/>
          <w:szCs w:val="24"/>
        </w:rPr>
        <w:t>o</w:t>
      </w:r>
      <w:r w:rsidR="006C1842" w:rsidRPr="00473C61">
        <w:rPr>
          <w:rFonts w:ascii="Times New Roman" w:hAnsi="Times New Roman"/>
          <w:sz w:val="24"/>
          <w:szCs w:val="24"/>
        </w:rPr>
        <w:t>efficients</w:t>
      </w:r>
      <w:r w:rsidR="00717C0E" w:rsidRPr="00473C61">
        <w:rPr>
          <w:rFonts w:ascii="Times New Roman" w:hAnsi="Times New Roman"/>
          <w:sz w:val="24"/>
          <w:szCs w:val="24"/>
        </w:rPr>
        <w:t xml:space="preserve">.  </w:t>
      </w:r>
      <w:r w:rsidR="00EC2060" w:rsidRPr="00473C61">
        <w:rPr>
          <w:rFonts w:ascii="Times New Roman" w:hAnsi="Times New Roman"/>
          <w:sz w:val="24"/>
          <w:szCs w:val="24"/>
        </w:rPr>
        <w:t>As in all such studies</w:t>
      </w:r>
      <w:r w:rsidR="00C65D7B" w:rsidRPr="00473C61">
        <w:rPr>
          <w:rFonts w:ascii="Times New Roman" w:hAnsi="Times New Roman"/>
          <w:sz w:val="24"/>
          <w:szCs w:val="24"/>
        </w:rPr>
        <w:t>,</w:t>
      </w:r>
      <w:r w:rsidR="00EC2060" w:rsidRPr="00473C61">
        <w:rPr>
          <w:rFonts w:ascii="Times New Roman" w:hAnsi="Times New Roman"/>
          <w:sz w:val="24"/>
          <w:szCs w:val="24"/>
        </w:rPr>
        <w:t xml:space="preserve"> i</w:t>
      </w:r>
      <w:r w:rsidR="004536C1" w:rsidRPr="00473C61">
        <w:rPr>
          <w:rFonts w:ascii="Times New Roman" w:hAnsi="Times New Roman"/>
          <w:sz w:val="24"/>
          <w:szCs w:val="24"/>
        </w:rPr>
        <w:t xml:space="preserve">t is difficult to identify </w:t>
      </w:r>
      <w:r w:rsidR="00EC2060" w:rsidRPr="00473C61">
        <w:rPr>
          <w:rFonts w:ascii="Times New Roman" w:hAnsi="Times New Roman"/>
          <w:sz w:val="24"/>
          <w:szCs w:val="24"/>
        </w:rPr>
        <w:t xml:space="preserve">variables </w:t>
      </w:r>
      <w:r w:rsidR="00493514" w:rsidRPr="00473C61">
        <w:rPr>
          <w:rFonts w:ascii="Times New Roman" w:hAnsi="Times New Roman"/>
          <w:sz w:val="24"/>
          <w:szCs w:val="24"/>
        </w:rPr>
        <w:t>a</w:t>
      </w:r>
      <w:r w:rsidR="00EC2060" w:rsidRPr="00473C61">
        <w:rPr>
          <w:rFonts w:ascii="Times New Roman" w:hAnsi="Times New Roman"/>
          <w:sz w:val="24"/>
          <w:szCs w:val="24"/>
        </w:rPr>
        <w:t>ffect</w:t>
      </w:r>
      <w:r w:rsidR="00493514" w:rsidRPr="00473C61">
        <w:rPr>
          <w:rFonts w:ascii="Times New Roman" w:hAnsi="Times New Roman"/>
          <w:sz w:val="24"/>
          <w:szCs w:val="24"/>
        </w:rPr>
        <w:t>ing</w:t>
      </w:r>
      <w:r w:rsidR="00EC2060" w:rsidRPr="00473C61">
        <w:rPr>
          <w:rFonts w:ascii="Times New Roman" w:hAnsi="Times New Roman"/>
          <w:sz w:val="24"/>
          <w:szCs w:val="24"/>
        </w:rPr>
        <w:t xml:space="preserve"> selection but not the outcome</w:t>
      </w:r>
      <w:r w:rsidR="004536C1" w:rsidRPr="00473C61">
        <w:rPr>
          <w:rFonts w:ascii="Times New Roman" w:hAnsi="Times New Roman"/>
          <w:sz w:val="24"/>
          <w:szCs w:val="24"/>
        </w:rPr>
        <w:t xml:space="preserve"> (see Santori 2003)</w:t>
      </w:r>
      <w:r w:rsidR="00EC2060" w:rsidRPr="00473C61">
        <w:rPr>
          <w:rFonts w:ascii="Times New Roman" w:hAnsi="Times New Roman"/>
          <w:sz w:val="24"/>
          <w:szCs w:val="24"/>
        </w:rPr>
        <w:t xml:space="preserve">.  </w:t>
      </w:r>
      <w:r w:rsidR="00C65D7B" w:rsidRPr="00473C61">
        <w:rPr>
          <w:rFonts w:ascii="Times New Roman" w:hAnsi="Times New Roman"/>
          <w:sz w:val="24"/>
          <w:szCs w:val="24"/>
        </w:rPr>
        <w:t>We utilize four</w:t>
      </w:r>
      <w:r w:rsidR="00EC2060" w:rsidRPr="00473C61">
        <w:rPr>
          <w:rFonts w:ascii="Times New Roman" w:hAnsi="Times New Roman"/>
          <w:sz w:val="24"/>
          <w:szCs w:val="24"/>
        </w:rPr>
        <w:t xml:space="preserve"> variables - existence of savings, life insurance or </w:t>
      </w:r>
      <w:r w:rsidR="00BE6121" w:rsidRPr="00473C61">
        <w:rPr>
          <w:rFonts w:ascii="Times New Roman" w:hAnsi="Times New Roman"/>
          <w:sz w:val="24"/>
          <w:szCs w:val="24"/>
        </w:rPr>
        <w:t xml:space="preserve">a </w:t>
      </w:r>
      <w:r w:rsidR="00EC2060" w:rsidRPr="00473C61">
        <w:rPr>
          <w:rFonts w:ascii="Times New Roman" w:hAnsi="Times New Roman"/>
          <w:sz w:val="24"/>
          <w:szCs w:val="24"/>
        </w:rPr>
        <w:t xml:space="preserve">private pension </w:t>
      </w:r>
      <w:r w:rsidR="00C65D7B" w:rsidRPr="00473C61">
        <w:rPr>
          <w:rFonts w:ascii="Times New Roman" w:hAnsi="Times New Roman"/>
          <w:sz w:val="24"/>
          <w:szCs w:val="24"/>
        </w:rPr>
        <w:t xml:space="preserve">and expenditure </w:t>
      </w:r>
      <w:r w:rsidR="00EC2060" w:rsidRPr="00473C61">
        <w:rPr>
          <w:rFonts w:ascii="Times New Roman" w:hAnsi="Times New Roman"/>
          <w:sz w:val="24"/>
          <w:szCs w:val="24"/>
        </w:rPr>
        <w:t>- as instruments</w:t>
      </w:r>
      <w:r w:rsidR="00493514" w:rsidRPr="00473C61">
        <w:rPr>
          <w:rFonts w:ascii="Times New Roman" w:hAnsi="Times New Roman"/>
          <w:sz w:val="24"/>
          <w:szCs w:val="24"/>
        </w:rPr>
        <w:t xml:space="preserve"> for </w:t>
      </w:r>
      <w:r w:rsidR="00B45962" w:rsidRPr="00473C61">
        <w:rPr>
          <w:rFonts w:ascii="Times New Roman" w:hAnsi="Times New Roman"/>
          <w:sz w:val="24"/>
          <w:szCs w:val="24"/>
        </w:rPr>
        <w:t xml:space="preserve">our </w:t>
      </w:r>
      <w:r w:rsidR="00493514" w:rsidRPr="00473C61">
        <w:rPr>
          <w:rFonts w:ascii="Times New Roman" w:hAnsi="Times New Roman"/>
          <w:sz w:val="24"/>
          <w:szCs w:val="24"/>
        </w:rPr>
        <w:t>exclusion restrictions.  We</w:t>
      </w:r>
      <w:r w:rsidR="00EC2060" w:rsidRPr="00473C61">
        <w:rPr>
          <w:rFonts w:ascii="Times New Roman" w:hAnsi="Times New Roman"/>
          <w:sz w:val="24"/>
          <w:szCs w:val="24"/>
        </w:rPr>
        <w:t xml:space="preserve"> base our assumptions on the </w:t>
      </w:r>
      <w:r w:rsidR="003128D1" w:rsidRPr="00473C61">
        <w:rPr>
          <w:rFonts w:ascii="Times New Roman" w:hAnsi="Times New Roman"/>
          <w:sz w:val="24"/>
          <w:szCs w:val="24"/>
        </w:rPr>
        <w:t>idea</w:t>
      </w:r>
      <w:r w:rsidR="00493514" w:rsidRPr="00473C61">
        <w:rPr>
          <w:rFonts w:ascii="Times New Roman" w:hAnsi="Times New Roman"/>
          <w:sz w:val="24"/>
          <w:szCs w:val="24"/>
        </w:rPr>
        <w:t xml:space="preserve"> that people </w:t>
      </w:r>
      <w:r w:rsidR="003128D1" w:rsidRPr="00473C61">
        <w:rPr>
          <w:rFonts w:ascii="Times New Roman" w:hAnsi="Times New Roman"/>
          <w:sz w:val="24"/>
          <w:szCs w:val="24"/>
        </w:rPr>
        <w:t>who plan and act about their future are less likely to face budget deficit</w:t>
      </w:r>
      <w:r w:rsidR="00B45962" w:rsidRPr="00473C61">
        <w:rPr>
          <w:rFonts w:ascii="Times New Roman" w:hAnsi="Times New Roman"/>
          <w:sz w:val="24"/>
          <w:szCs w:val="24"/>
        </w:rPr>
        <w:t>s</w:t>
      </w:r>
      <w:r w:rsidR="003128D1" w:rsidRPr="00473C61">
        <w:rPr>
          <w:rFonts w:ascii="Times New Roman" w:hAnsi="Times New Roman"/>
          <w:sz w:val="24"/>
          <w:szCs w:val="24"/>
        </w:rPr>
        <w:t xml:space="preserve"> as they will be more disciplined in their spending.  Hence, together with other control variables, an individual’s probability of facing a budget deficit can be manipulated without affecting the potential outcomes. </w:t>
      </w:r>
      <w:r w:rsidR="00C65D7B" w:rsidRPr="00473C61">
        <w:rPr>
          <w:rFonts w:ascii="Times New Roman" w:hAnsi="Times New Roman"/>
          <w:sz w:val="24"/>
          <w:szCs w:val="24"/>
        </w:rPr>
        <w:t xml:space="preserve"> Additionally, </w:t>
      </w:r>
      <w:r w:rsidR="00C65D7B" w:rsidRPr="00473C61">
        <w:rPr>
          <w:rFonts w:ascii="Times New Roman" w:hAnsi="Times New Roman"/>
          <w:i/>
          <w:sz w:val="24"/>
          <w:szCs w:val="24"/>
        </w:rPr>
        <w:t>expenditure</w:t>
      </w:r>
      <w:r w:rsidR="00C65D7B" w:rsidRPr="00473C61">
        <w:rPr>
          <w:rFonts w:ascii="Times New Roman" w:hAnsi="Times New Roman"/>
          <w:sz w:val="24"/>
          <w:szCs w:val="24"/>
        </w:rPr>
        <w:t xml:space="preserve"> captures weekly household current </w:t>
      </w:r>
      <w:r w:rsidR="00BE6121" w:rsidRPr="00473C61">
        <w:rPr>
          <w:rFonts w:ascii="Times New Roman" w:hAnsi="Times New Roman"/>
          <w:sz w:val="24"/>
          <w:szCs w:val="24"/>
        </w:rPr>
        <w:t>outgoings</w:t>
      </w:r>
      <w:r w:rsidR="00C65D7B" w:rsidRPr="00473C61">
        <w:rPr>
          <w:rFonts w:ascii="Times New Roman" w:hAnsi="Times New Roman"/>
          <w:sz w:val="24"/>
          <w:szCs w:val="24"/>
        </w:rPr>
        <w:t xml:space="preserve"> on goods and services thus, both consumption and non-consumption expenditure. </w:t>
      </w:r>
      <w:r w:rsidR="003128D1" w:rsidRPr="00473C61">
        <w:rPr>
          <w:rFonts w:ascii="Times New Roman" w:hAnsi="Times New Roman"/>
          <w:sz w:val="24"/>
          <w:szCs w:val="24"/>
        </w:rPr>
        <w:t xml:space="preserve"> Firstly we </w:t>
      </w:r>
      <w:r w:rsidR="003128D1" w:rsidRPr="00473C61">
        <w:rPr>
          <w:rFonts w:ascii="Times New Roman" w:hAnsi="Times New Roman"/>
          <w:sz w:val="24"/>
          <w:szCs w:val="24"/>
        </w:rPr>
        <w:lastRenderedPageBreak/>
        <w:t xml:space="preserve">use a probit estimator for equation (3) and compute the Inverse Mill Ratio (IMR).  At the second stage we estimate equation (2) by including the IMR term from step one.  </w:t>
      </w:r>
    </w:p>
    <w:p w:rsidR="004B1240" w:rsidRPr="00473C61" w:rsidRDefault="004B1240" w:rsidP="004B1240">
      <w:pPr>
        <w:spacing w:after="0" w:line="480" w:lineRule="auto"/>
        <w:jc w:val="both"/>
        <w:rPr>
          <w:rFonts w:ascii="Times New Roman" w:hAnsi="Times New Roman"/>
          <w:sz w:val="24"/>
          <w:szCs w:val="24"/>
        </w:rPr>
      </w:pPr>
    </w:p>
    <w:p w:rsidR="00C65D7B" w:rsidRPr="00473C61" w:rsidRDefault="00C65D7B" w:rsidP="00C65D7B">
      <w:pPr>
        <w:numPr>
          <w:ilvl w:val="2"/>
          <w:numId w:val="4"/>
        </w:numPr>
        <w:spacing w:after="0" w:line="480" w:lineRule="auto"/>
        <w:ind w:left="709" w:hanging="709"/>
        <w:jc w:val="both"/>
        <w:rPr>
          <w:rFonts w:ascii="Times New Roman" w:hAnsi="Times New Roman"/>
          <w:i/>
          <w:sz w:val="24"/>
          <w:szCs w:val="24"/>
        </w:rPr>
      </w:pPr>
      <w:r w:rsidRPr="00473C61">
        <w:rPr>
          <w:rFonts w:ascii="Times New Roman" w:hAnsi="Times New Roman"/>
          <w:i/>
          <w:sz w:val="24"/>
          <w:szCs w:val="24"/>
        </w:rPr>
        <w:t>Propensity score matching</w:t>
      </w:r>
    </w:p>
    <w:p w:rsidR="006E18EE" w:rsidRPr="00473C61" w:rsidRDefault="00B45962" w:rsidP="004B1240">
      <w:pPr>
        <w:spacing w:after="0" w:line="480" w:lineRule="auto"/>
        <w:jc w:val="both"/>
        <w:rPr>
          <w:rFonts w:ascii="Times New Roman" w:hAnsi="Times New Roman"/>
          <w:sz w:val="24"/>
          <w:szCs w:val="24"/>
        </w:rPr>
      </w:pPr>
      <w:r w:rsidRPr="00473C61">
        <w:rPr>
          <w:rFonts w:ascii="Times New Roman" w:hAnsi="Times New Roman"/>
          <w:sz w:val="24"/>
          <w:szCs w:val="24"/>
        </w:rPr>
        <w:t>The a</w:t>
      </w:r>
      <w:r w:rsidR="00FC746C" w:rsidRPr="00473C61">
        <w:rPr>
          <w:rFonts w:ascii="Times New Roman" w:hAnsi="Times New Roman"/>
          <w:sz w:val="24"/>
          <w:szCs w:val="24"/>
        </w:rPr>
        <w:t>bove regression a</w:t>
      </w:r>
      <w:r w:rsidR="00C1540D" w:rsidRPr="00473C61">
        <w:rPr>
          <w:rFonts w:ascii="Times New Roman" w:hAnsi="Times New Roman"/>
          <w:sz w:val="24"/>
          <w:szCs w:val="24"/>
        </w:rPr>
        <w:t>pproach estimates the</w:t>
      </w:r>
      <w:r w:rsidR="00FC746C" w:rsidRPr="00473C61">
        <w:rPr>
          <w:rFonts w:ascii="Times New Roman" w:hAnsi="Times New Roman"/>
          <w:sz w:val="24"/>
          <w:szCs w:val="24"/>
        </w:rPr>
        <w:t xml:space="preserve"> </w:t>
      </w:r>
      <w:r w:rsidR="00C1540D" w:rsidRPr="00473C61">
        <w:rPr>
          <w:rFonts w:ascii="Times New Roman" w:hAnsi="Times New Roman"/>
          <w:sz w:val="24"/>
          <w:szCs w:val="24"/>
        </w:rPr>
        <w:t xml:space="preserve">correct treatment effect if the </w:t>
      </w:r>
      <w:r w:rsidR="00FC746C" w:rsidRPr="00473C61">
        <w:rPr>
          <w:rFonts w:ascii="Times New Roman" w:hAnsi="Times New Roman"/>
          <w:sz w:val="24"/>
          <w:szCs w:val="24"/>
        </w:rPr>
        <w:t>“</w:t>
      </w:r>
      <w:r w:rsidR="00C1540D" w:rsidRPr="00473C61">
        <w:rPr>
          <w:rFonts w:ascii="Times New Roman" w:hAnsi="Times New Roman"/>
          <w:sz w:val="24"/>
          <w:szCs w:val="24"/>
        </w:rPr>
        <w:t xml:space="preserve">selection on observables” hypothesis is true, </w:t>
      </w:r>
      <w:r w:rsidRPr="00473C61">
        <w:rPr>
          <w:rFonts w:ascii="Times New Roman" w:hAnsi="Times New Roman"/>
          <w:sz w:val="24"/>
          <w:szCs w:val="24"/>
        </w:rPr>
        <w:t>namely</w:t>
      </w:r>
      <w:r w:rsidR="00A90FFE" w:rsidRPr="00473C61">
        <w:rPr>
          <w:rFonts w:ascii="Times New Roman" w:hAnsi="Times New Roman"/>
          <w:sz w:val="24"/>
          <w:szCs w:val="24"/>
        </w:rPr>
        <w:t>,</w:t>
      </w:r>
      <w:r w:rsidR="00C1540D" w:rsidRPr="00473C61">
        <w:rPr>
          <w:rFonts w:ascii="Times New Roman" w:hAnsi="Times New Roman"/>
          <w:sz w:val="24"/>
          <w:szCs w:val="24"/>
        </w:rPr>
        <w:t xml:space="preserve"> if all variables</w:t>
      </w:r>
      <w:r w:rsidR="00FC746C" w:rsidRPr="00473C61">
        <w:rPr>
          <w:rFonts w:ascii="Times New Roman" w:hAnsi="Times New Roman"/>
          <w:sz w:val="24"/>
          <w:szCs w:val="24"/>
        </w:rPr>
        <w:t xml:space="preserve"> </w:t>
      </w:r>
      <w:r w:rsidR="00C1540D" w:rsidRPr="00473C61">
        <w:rPr>
          <w:rFonts w:ascii="Times New Roman" w:hAnsi="Times New Roman"/>
          <w:sz w:val="24"/>
          <w:szCs w:val="24"/>
        </w:rPr>
        <w:t>correlated both with the treatment and outcome variables are observed and included in the</w:t>
      </w:r>
      <w:r w:rsidR="00FC746C" w:rsidRPr="00473C61">
        <w:rPr>
          <w:rFonts w:ascii="Times New Roman" w:hAnsi="Times New Roman"/>
          <w:sz w:val="24"/>
          <w:szCs w:val="24"/>
        </w:rPr>
        <w:t xml:space="preserve"> </w:t>
      </w:r>
      <w:r w:rsidR="00C1540D" w:rsidRPr="00473C61">
        <w:rPr>
          <w:rFonts w:ascii="Times New Roman" w:hAnsi="Times New Roman"/>
          <w:sz w:val="24"/>
          <w:szCs w:val="24"/>
        </w:rPr>
        <w:t>model.</w:t>
      </w:r>
      <w:r w:rsidR="00FC746C" w:rsidRPr="00473C61">
        <w:rPr>
          <w:rFonts w:ascii="Times New Roman" w:hAnsi="Times New Roman"/>
          <w:sz w:val="24"/>
          <w:szCs w:val="24"/>
        </w:rPr>
        <w:t xml:space="preserve">  We also assume that the true model</w:t>
      </w:r>
      <w:r w:rsidR="00384DA8" w:rsidRPr="00473C61">
        <w:rPr>
          <w:rFonts w:ascii="Times New Roman" w:hAnsi="Times New Roman"/>
          <w:sz w:val="24"/>
          <w:szCs w:val="24"/>
        </w:rPr>
        <w:t xml:space="preserve"> is a</w:t>
      </w:r>
      <w:r w:rsidR="00FC746C" w:rsidRPr="00473C61">
        <w:rPr>
          <w:rFonts w:ascii="Times New Roman" w:hAnsi="Times New Roman"/>
          <w:sz w:val="24"/>
          <w:szCs w:val="24"/>
        </w:rPr>
        <w:t xml:space="preserve"> linear and additive one.  </w:t>
      </w:r>
      <w:r w:rsidR="00C65D7B" w:rsidRPr="00473C61">
        <w:rPr>
          <w:rFonts w:ascii="Times New Roman" w:hAnsi="Times New Roman"/>
          <w:sz w:val="24"/>
          <w:szCs w:val="24"/>
        </w:rPr>
        <w:t>As an alternative methodology</w:t>
      </w:r>
      <w:r w:rsidR="002A7DDE" w:rsidRPr="00473C61">
        <w:rPr>
          <w:rFonts w:ascii="Times New Roman" w:hAnsi="Times New Roman"/>
          <w:sz w:val="24"/>
          <w:szCs w:val="24"/>
        </w:rPr>
        <w:t xml:space="preserve"> and robustness check</w:t>
      </w:r>
      <w:r w:rsidR="00C65D7B" w:rsidRPr="00473C61">
        <w:rPr>
          <w:rFonts w:ascii="Times New Roman" w:hAnsi="Times New Roman"/>
          <w:sz w:val="24"/>
          <w:szCs w:val="24"/>
        </w:rPr>
        <w:t>, we use matching propensity score</w:t>
      </w:r>
      <w:r w:rsidRPr="00473C61">
        <w:rPr>
          <w:rFonts w:ascii="Times New Roman" w:hAnsi="Times New Roman"/>
          <w:sz w:val="24"/>
          <w:szCs w:val="24"/>
        </w:rPr>
        <w:t>s</w:t>
      </w:r>
      <w:r w:rsidR="00C65D7B" w:rsidRPr="00473C61">
        <w:rPr>
          <w:rFonts w:ascii="Times New Roman" w:hAnsi="Times New Roman"/>
          <w:sz w:val="24"/>
          <w:szCs w:val="24"/>
        </w:rPr>
        <w:t xml:space="preserve"> (Rosenbaum and Rubin, 1983) to compare </w:t>
      </w:r>
      <w:r w:rsidR="00CC4182" w:rsidRPr="00473C61">
        <w:rPr>
          <w:rFonts w:ascii="Times New Roman" w:hAnsi="Times New Roman"/>
          <w:sz w:val="24"/>
          <w:szCs w:val="24"/>
        </w:rPr>
        <w:t xml:space="preserve">white and non-white </w:t>
      </w:r>
      <w:r w:rsidR="00C96539" w:rsidRPr="00473C61">
        <w:rPr>
          <w:rFonts w:ascii="Times New Roman" w:hAnsi="Times New Roman"/>
          <w:sz w:val="24"/>
          <w:szCs w:val="24"/>
        </w:rPr>
        <w:t xml:space="preserve">household and household head </w:t>
      </w:r>
      <w:r w:rsidR="00C65D7B" w:rsidRPr="00473C61">
        <w:rPr>
          <w:rFonts w:ascii="Times New Roman" w:hAnsi="Times New Roman"/>
          <w:sz w:val="24"/>
          <w:szCs w:val="24"/>
        </w:rPr>
        <w:t>which are ex-ante very close in terms of all the observable characteristics</w:t>
      </w:r>
      <w:r w:rsidR="00CC4182" w:rsidRPr="00473C61">
        <w:rPr>
          <w:rFonts w:ascii="Times New Roman" w:hAnsi="Times New Roman"/>
          <w:sz w:val="24"/>
          <w:szCs w:val="24"/>
        </w:rPr>
        <w:t xml:space="preserve">. </w:t>
      </w:r>
      <w:r w:rsidR="00FC746C" w:rsidRPr="00473C61">
        <w:rPr>
          <w:rFonts w:ascii="Times New Roman" w:hAnsi="Times New Roman"/>
          <w:sz w:val="24"/>
          <w:szCs w:val="24"/>
        </w:rPr>
        <w:t xml:space="preserve"> While the </w:t>
      </w:r>
      <w:r w:rsidRPr="00473C61">
        <w:rPr>
          <w:rFonts w:ascii="Times New Roman" w:hAnsi="Times New Roman"/>
          <w:sz w:val="24"/>
          <w:szCs w:val="24"/>
        </w:rPr>
        <w:t>p</w:t>
      </w:r>
      <w:r w:rsidR="00FC746C" w:rsidRPr="00473C61">
        <w:rPr>
          <w:rFonts w:ascii="Times New Roman" w:hAnsi="Times New Roman"/>
          <w:sz w:val="24"/>
          <w:szCs w:val="24"/>
        </w:rPr>
        <w:t xml:space="preserve">ropensity </w:t>
      </w:r>
      <w:r w:rsidRPr="00473C61">
        <w:rPr>
          <w:rFonts w:ascii="Times New Roman" w:hAnsi="Times New Roman"/>
          <w:sz w:val="24"/>
          <w:szCs w:val="24"/>
        </w:rPr>
        <w:t>s</w:t>
      </w:r>
      <w:r w:rsidR="00FC746C" w:rsidRPr="00473C61">
        <w:rPr>
          <w:rFonts w:ascii="Times New Roman" w:hAnsi="Times New Roman"/>
          <w:sz w:val="24"/>
          <w:szCs w:val="24"/>
        </w:rPr>
        <w:t xml:space="preserve">core </w:t>
      </w:r>
      <w:r w:rsidRPr="00473C61">
        <w:rPr>
          <w:rFonts w:ascii="Times New Roman" w:hAnsi="Times New Roman"/>
          <w:sz w:val="24"/>
          <w:szCs w:val="24"/>
        </w:rPr>
        <w:t>m</w:t>
      </w:r>
      <w:r w:rsidR="00FC746C" w:rsidRPr="00473C61">
        <w:rPr>
          <w:rFonts w:ascii="Times New Roman" w:hAnsi="Times New Roman"/>
          <w:sz w:val="24"/>
          <w:szCs w:val="24"/>
        </w:rPr>
        <w:t xml:space="preserve">atching procedure also relies on the “selection on observables” assumption, it does not depend on </w:t>
      </w:r>
      <w:r w:rsidRPr="00473C61">
        <w:rPr>
          <w:rFonts w:ascii="Times New Roman" w:hAnsi="Times New Roman"/>
          <w:sz w:val="24"/>
          <w:szCs w:val="24"/>
        </w:rPr>
        <w:t xml:space="preserve">the assumption of </w:t>
      </w:r>
      <w:r w:rsidR="00FC746C" w:rsidRPr="00473C61">
        <w:rPr>
          <w:rFonts w:ascii="Times New Roman" w:hAnsi="Times New Roman"/>
          <w:sz w:val="24"/>
          <w:szCs w:val="24"/>
        </w:rPr>
        <w:t xml:space="preserve">functional forms. Compared to the regression approach, it has the additional advantage of restricting inference to the sample of white and non-white households that are actually comparable in their observable </w:t>
      </w:r>
      <w:r w:rsidR="00384DA8" w:rsidRPr="00473C61">
        <w:rPr>
          <w:rFonts w:ascii="Times New Roman" w:hAnsi="Times New Roman"/>
          <w:sz w:val="24"/>
          <w:szCs w:val="24"/>
        </w:rPr>
        <w:t>characteristics</w:t>
      </w:r>
      <w:r w:rsidR="00FC746C" w:rsidRPr="00473C61">
        <w:rPr>
          <w:rFonts w:ascii="Times New Roman" w:hAnsi="Times New Roman"/>
          <w:sz w:val="24"/>
          <w:szCs w:val="24"/>
        </w:rPr>
        <w:t>.</w:t>
      </w:r>
      <w:r w:rsidR="00E15255" w:rsidRPr="00473C61">
        <w:rPr>
          <w:rFonts w:ascii="Times New Roman" w:hAnsi="Times New Roman"/>
          <w:sz w:val="24"/>
          <w:szCs w:val="24"/>
        </w:rPr>
        <w:t xml:space="preserve">  </w:t>
      </w:r>
    </w:p>
    <w:p w:rsidR="006E18EE" w:rsidRPr="00473C61" w:rsidRDefault="006E18EE" w:rsidP="004B1240">
      <w:pPr>
        <w:spacing w:after="0" w:line="480" w:lineRule="auto"/>
        <w:jc w:val="both"/>
        <w:rPr>
          <w:rFonts w:ascii="Times New Roman" w:hAnsi="Times New Roman"/>
          <w:sz w:val="24"/>
          <w:szCs w:val="24"/>
        </w:rPr>
      </w:pPr>
    </w:p>
    <w:p w:rsidR="00C65D7B" w:rsidRPr="00473C61" w:rsidRDefault="00C65D7B" w:rsidP="004B1240">
      <w:pPr>
        <w:spacing w:after="0" w:line="480" w:lineRule="auto"/>
        <w:jc w:val="both"/>
        <w:rPr>
          <w:rFonts w:ascii="Times New Roman" w:hAnsi="Times New Roman"/>
          <w:sz w:val="24"/>
          <w:szCs w:val="24"/>
        </w:rPr>
      </w:pPr>
      <w:r w:rsidRPr="00473C61">
        <w:rPr>
          <w:rFonts w:ascii="Times New Roman" w:hAnsi="Times New Roman"/>
          <w:sz w:val="24"/>
          <w:szCs w:val="24"/>
        </w:rPr>
        <w:t xml:space="preserve">If we assume that there are no significant differences in unobservable variables between the matched groups of </w:t>
      </w:r>
      <w:r w:rsidR="00CC4182" w:rsidRPr="00473C61">
        <w:rPr>
          <w:rFonts w:ascii="Times New Roman" w:hAnsi="Times New Roman"/>
          <w:sz w:val="24"/>
          <w:szCs w:val="24"/>
        </w:rPr>
        <w:t>households</w:t>
      </w:r>
      <w:r w:rsidRPr="00473C61">
        <w:rPr>
          <w:rFonts w:ascii="Times New Roman" w:hAnsi="Times New Roman"/>
          <w:sz w:val="24"/>
          <w:szCs w:val="24"/>
        </w:rPr>
        <w:t xml:space="preserve">, the observed differential </w:t>
      </w:r>
      <w:r w:rsidR="006D171F" w:rsidRPr="00473C61">
        <w:rPr>
          <w:rFonts w:ascii="Times New Roman" w:hAnsi="Times New Roman"/>
          <w:sz w:val="24"/>
          <w:szCs w:val="24"/>
        </w:rPr>
        <w:t xml:space="preserve">in </w:t>
      </w:r>
      <w:r w:rsidR="00CC4182" w:rsidRPr="00473C61">
        <w:rPr>
          <w:rFonts w:ascii="Times New Roman" w:hAnsi="Times New Roman"/>
          <w:sz w:val="24"/>
          <w:szCs w:val="24"/>
        </w:rPr>
        <w:t>obtaining financing</w:t>
      </w:r>
      <w:r w:rsidRPr="00473C61">
        <w:rPr>
          <w:rFonts w:ascii="Times New Roman" w:hAnsi="Times New Roman"/>
          <w:sz w:val="24"/>
          <w:szCs w:val="24"/>
        </w:rPr>
        <w:t xml:space="preserve"> can be attributed to the effect </w:t>
      </w:r>
      <w:r w:rsidR="006D171F" w:rsidRPr="00473C61">
        <w:rPr>
          <w:rFonts w:ascii="Times New Roman" w:hAnsi="Times New Roman"/>
          <w:sz w:val="24"/>
          <w:szCs w:val="24"/>
        </w:rPr>
        <w:t xml:space="preserve">having received the treatment </w:t>
      </w:r>
      <w:r w:rsidR="00A90FFE" w:rsidRPr="00473C61">
        <w:rPr>
          <w:rFonts w:ascii="Times New Roman" w:hAnsi="Times New Roman"/>
          <w:sz w:val="24"/>
          <w:szCs w:val="24"/>
        </w:rPr>
        <w:t xml:space="preserve">– </w:t>
      </w:r>
      <w:r w:rsidR="006D171F" w:rsidRPr="00473C61">
        <w:rPr>
          <w:rFonts w:ascii="Times New Roman" w:hAnsi="Times New Roman"/>
          <w:sz w:val="24"/>
          <w:szCs w:val="24"/>
        </w:rPr>
        <w:t>in</w:t>
      </w:r>
      <w:r w:rsidR="00A90FFE" w:rsidRPr="00473C61">
        <w:rPr>
          <w:rFonts w:ascii="Times New Roman" w:hAnsi="Times New Roman"/>
          <w:sz w:val="24"/>
          <w:szCs w:val="24"/>
        </w:rPr>
        <w:t xml:space="preserve"> </w:t>
      </w:r>
      <w:r w:rsidR="006D171F" w:rsidRPr="00473C61">
        <w:rPr>
          <w:rFonts w:ascii="Times New Roman" w:hAnsi="Times New Roman"/>
          <w:sz w:val="24"/>
          <w:szCs w:val="24"/>
        </w:rPr>
        <w:t>this case</w:t>
      </w:r>
      <w:r w:rsidRPr="00473C61">
        <w:rPr>
          <w:rFonts w:ascii="Times New Roman" w:hAnsi="Times New Roman"/>
          <w:sz w:val="24"/>
          <w:szCs w:val="24"/>
        </w:rPr>
        <w:t xml:space="preserve"> </w:t>
      </w:r>
      <w:r w:rsidR="00CC4182" w:rsidRPr="00473C61">
        <w:rPr>
          <w:rFonts w:ascii="Times New Roman" w:hAnsi="Times New Roman"/>
          <w:sz w:val="24"/>
          <w:szCs w:val="24"/>
        </w:rPr>
        <w:t xml:space="preserve">being </w:t>
      </w:r>
      <w:r w:rsidR="006D171F" w:rsidRPr="00473C61">
        <w:rPr>
          <w:rFonts w:ascii="Times New Roman" w:hAnsi="Times New Roman"/>
          <w:sz w:val="24"/>
          <w:szCs w:val="24"/>
        </w:rPr>
        <w:t xml:space="preserve">a </w:t>
      </w:r>
      <w:r w:rsidR="00CC4182" w:rsidRPr="00473C61">
        <w:rPr>
          <w:rFonts w:ascii="Times New Roman" w:hAnsi="Times New Roman"/>
          <w:sz w:val="24"/>
          <w:szCs w:val="24"/>
        </w:rPr>
        <w:t>non-white household</w:t>
      </w:r>
      <w:r w:rsidRPr="00473C61">
        <w:rPr>
          <w:rFonts w:ascii="Times New Roman" w:hAnsi="Times New Roman"/>
          <w:sz w:val="24"/>
          <w:szCs w:val="24"/>
        </w:rPr>
        <w:t xml:space="preserve">.  Following Dehejia and Wahba (2002), we match the </w:t>
      </w:r>
      <w:r w:rsidR="00CC4182" w:rsidRPr="00473C61">
        <w:rPr>
          <w:rFonts w:ascii="Times New Roman" w:hAnsi="Times New Roman"/>
          <w:sz w:val="24"/>
          <w:szCs w:val="24"/>
        </w:rPr>
        <w:t>households</w:t>
      </w:r>
      <w:r w:rsidRPr="00473C61">
        <w:rPr>
          <w:rFonts w:ascii="Times New Roman" w:hAnsi="Times New Roman"/>
          <w:sz w:val="24"/>
          <w:szCs w:val="24"/>
        </w:rPr>
        <w:t xml:space="preserve"> based on the nearest-neighbour with </w:t>
      </w:r>
      <w:r w:rsidR="00B45962" w:rsidRPr="00473C61">
        <w:rPr>
          <w:rFonts w:ascii="Times New Roman" w:hAnsi="Times New Roman"/>
          <w:sz w:val="24"/>
          <w:szCs w:val="24"/>
        </w:rPr>
        <w:t xml:space="preserve">the </w:t>
      </w:r>
      <w:r w:rsidRPr="00473C61">
        <w:rPr>
          <w:rFonts w:ascii="Times New Roman" w:hAnsi="Times New Roman"/>
          <w:sz w:val="24"/>
          <w:szCs w:val="24"/>
        </w:rPr>
        <w:t xml:space="preserve">replacement propensity score methodology and compare </w:t>
      </w:r>
      <w:r w:rsidR="00B45962" w:rsidRPr="00473C61">
        <w:rPr>
          <w:rFonts w:ascii="Times New Roman" w:hAnsi="Times New Roman"/>
          <w:sz w:val="24"/>
          <w:szCs w:val="24"/>
        </w:rPr>
        <w:t xml:space="preserve">the </w:t>
      </w:r>
      <w:r w:rsidR="00CC4182" w:rsidRPr="00473C61">
        <w:rPr>
          <w:rFonts w:ascii="Times New Roman" w:hAnsi="Times New Roman"/>
          <w:sz w:val="24"/>
          <w:szCs w:val="24"/>
        </w:rPr>
        <w:t xml:space="preserve">probability of having </w:t>
      </w:r>
      <w:r w:rsidR="00CC4182" w:rsidRPr="00473C61">
        <w:rPr>
          <w:rFonts w:ascii="Times New Roman" w:hAnsi="Times New Roman"/>
          <w:i/>
          <w:sz w:val="24"/>
          <w:szCs w:val="24"/>
        </w:rPr>
        <w:t>no financing</w:t>
      </w:r>
      <w:r w:rsidR="00CC4182" w:rsidRPr="00473C61">
        <w:rPr>
          <w:rFonts w:ascii="Times New Roman" w:hAnsi="Times New Roman"/>
          <w:sz w:val="24"/>
          <w:szCs w:val="24"/>
        </w:rPr>
        <w:t xml:space="preserve"> </w:t>
      </w:r>
      <w:r w:rsidRPr="00473C61">
        <w:rPr>
          <w:rFonts w:ascii="Times New Roman" w:hAnsi="Times New Roman"/>
          <w:sz w:val="24"/>
          <w:szCs w:val="24"/>
        </w:rPr>
        <w:t>in the two</w:t>
      </w:r>
      <w:r w:rsidR="00CC4182" w:rsidRPr="00473C61">
        <w:rPr>
          <w:rFonts w:ascii="Times New Roman" w:hAnsi="Times New Roman"/>
          <w:sz w:val="24"/>
          <w:szCs w:val="24"/>
        </w:rPr>
        <w:t xml:space="preserve"> groups.  </w:t>
      </w:r>
      <w:r w:rsidRPr="00473C61">
        <w:rPr>
          <w:rFonts w:ascii="Times New Roman" w:hAnsi="Times New Roman"/>
          <w:sz w:val="24"/>
          <w:szCs w:val="24"/>
        </w:rPr>
        <w:t>Propensity score</w:t>
      </w:r>
      <w:r w:rsidR="00B45962" w:rsidRPr="00473C61">
        <w:rPr>
          <w:rFonts w:ascii="Times New Roman" w:hAnsi="Times New Roman"/>
          <w:sz w:val="24"/>
          <w:szCs w:val="24"/>
        </w:rPr>
        <w:t>s</w:t>
      </w:r>
      <w:r w:rsidRPr="00473C61">
        <w:rPr>
          <w:rFonts w:ascii="Times New Roman" w:hAnsi="Times New Roman"/>
          <w:sz w:val="24"/>
          <w:szCs w:val="24"/>
        </w:rPr>
        <w:t>, defined in this</w:t>
      </w:r>
      <w:r w:rsidR="00DD197D" w:rsidRPr="00473C61">
        <w:rPr>
          <w:rFonts w:ascii="Times New Roman" w:hAnsi="Times New Roman"/>
          <w:sz w:val="24"/>
          <w:szCs w:val="24"/>
        </w:rPr>
        <w:t xml:space="preserve"> case as the probability of </w:t>
      </w:r>
      <w:r w:rsidR="006D171F" w:rsidRPr="00473C61">
        <w:rPr>
          <w:rFonts w:ascii="Times New Roman" w:hAnsi="Times New Roman"/>
          <w:sz w:val="24"/>
          <w:szCs w:val="24"/>
        </w:rPr>
        <w:t xml:space="preserve">being a non-white </w:t>
      </w:r>
      <w:r w:rsidR="00DD697D" w:rsidRPr="00473C61">
        <w:rPr>
          <w:rFonts w:ascii="Times New Roman" w:hAnsi="Times New Roman"/>
          <w:sz w:val="24"/>
          <w:szCs w:val="24"/>
        </w:rPr>
        <w:t>household</w:t>
      </w:r>
      <w:r w:rsidRPr="00473C61">
        <w:rPr>
          <w:rFonts w:ascii="Times New Roman" w:hAnsi="Times New Roman"/>
          <w:sz w:val="24"/>
          <w:szCs w:val="24"/>
        </w:rPr>
        <w:t>, given a set of observable covariates, is estimated by mean</w:t>
      </w:r>
      <w:r w:rsidR="00CC4182" w:rsidRPr="00473C61">
        <w:rPr>
          <w:rFonts w:ascii="Times New Roman" w:hAnsi="Times New Roman"/>
          <w:sz w:val="24"/>
          <w:szCs w:val="24"/>
        </w:rPr>
        <w:t xml:space="preserve">s of a logit model </w:t>
      </w:r>
      <w:r w:rsidR="00B45962" w:rsidRPr="00473C61">
        <w:rPr>
          <w:rFonts w:ascii="Times New Roman" w:hAnsi="Times New Roman"/>
          <w:sz w:val="24"/>
          <w:szCs w:val="24"/>
        </w:rPr>
        <w:t xml:space="preserve">as </w:t>
      </w:r>
      <w:r w:rsidR="00CC4182" w:rsidRPr="00473C61">
        <w:rPr>
          <w:rFonts w:ascii="Times New Roman" w:hAnsi="Times New Roman"/>
          <w:sz w:val="24"/>
          <w:szCs w:val="24"/>
        </w:rPr>
        <w:t xml:space="preserve">shown </w:t>
      </w:r>
      <w:r w:rsidR="003B5CA2" w:rsidRPr="00473C61">
        <w:rPr>
          <w:rFonts w:ascii="Times New Roman" w:hAnsi="Times New Roman"/>
          <w:sz w:val="24"/>
          <w:szCs w:val="24"/>
        </w:rPr>
        <w:t>below:</w:t>
      </w:r>
    </w:p>
    <w:p w:rsidR="003B5CA2" w:rsidRPr="00473C61" w:rsidRDefault="003B5CA2" w:rsidP="004B1240">
      <w:pPr>
        <w:spacing w:after="0" w:line="480" w:lineRule="auto"/>
        <w:jc w:val="both"/>
        <w:rPr>
          <w:rFonts w:ascii="Times New Roman" w:hAnsi="Times New Roman"/>
          <w:sz w:val="24"/>
          <w:szCs w:val="24"/>
        </w:rPr>
      </w:pPr>
    </w:p>
    <w:p w:rsidR="003B5CA2" w:rsidRPr="00473C61" w:rsidRDefault="001972E0" w:rsidP="003B5CA2">
      <w:pPr>
        <w:spacing w:after="0" w:line="480" w:lineRule="auto"/>
        <w:jc w:val="center"/>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NW</m:t>
            </m:r>
          </m:e>
          <m:sub>
            <m:r>
              <w:rPr>
                <w:rFonts w:ascii="Cambria Math" w:hAnsi="Cambria Math"/>
                <w:sz w:val="24"/>
                <w:szCs w:val="24"/>
              </w:rPr>
              <m:t>i</m:t>
            </m:r>
          </m:sub>
        </m:sSub>
        <m:r>
          <w:rPr>
            <w:rFonts w:ascii="Cambria Math" w:hAnsi="Times New Roman"/>
            <w:sz w:val="24"/>
            <w:szCs w:val="24"/>
          </w:rPr>
          <m:t xml:space="preserve">= </m:t>
        </m:r>
        <m:r>
          <w:rPr>
            <w:rFonts w:ascii="Cambria Math" w:hAnsi="Cambria Math"/>
            <w:sz w:val="24"/>
            <w:szCs w:val="24"/>
          </w:rPr>
          <m:t>β</m:t>
        </m:r>
        <m:sSub>
          <m:sSubPr>
            <m:ctrlPr>
              <w:rPr>
                <w:rFonts w:ascii="Cambria Math" w:hAnsi="Times New Roman"/>
                <w:i/>
                <w:sz w:val="24"/>
                <w:szCs w:val="24"/>
              </w:rPr>
            </m:ctrlPr>
          </m:sSubPr>
          <m:e>
            <m:r>
              <w:rPr>
                <w:rFonts w:ascii="Cambria Math" w:hAnsi="Cambria Math"/>
                <w:sz w:val="24"/>
                <w:szCs w:val="24"/>
              </w:rPr>
              <m:t>H</m:t>
            </m:r>
          </m:e>
          <m:sub>
            <m:r>
              <w:rPr>
                <w:rFonts w:ascii="Cambria Math" w:hAnsi="Cambria Math"/>
                <w:sz w:val="24"/>
                <w:szCs w:val="24"/>
              </w:rPr>
              <m:t>i</m:t>
            </m:r>
          </m:sub>
        </m:sSub>
        <m:r>
          <w:rPr>
            <w:rFonts w:ascii="Cambria Math" w:hAnsi="Times New Roman"/>
            <w:sz w:val="24"/>
            <w:szCs w:val="24"/>
          </w:rPr>
          <m:t>+</m:t>
        </m:r>
        <m:r>
          <w:rPr>
            <w:rFonts w:ascii="Cambria Math" w:hAnsi="Cambria Math"/>
            <w:sz w:val="24"/>
            <w:szCs w:val="24"/>
          </w:rPr>
          <m:t>δ</m:t>
        </m:r>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i</m:t>
            </m:r>
          </m:sub>
        </m:sSub>
        <m:r>
          <w:rPr>
            <w:rFonts w:ascii="Cambria Math" w:hAnsi="Times New Roman"/>
            <w:sz w:val="24"/>
            <w:szCs w:val="24"/>
          </w:rPr>
          <m:t>+</m:t>
        </m:r>
        <m:r>
          <w:rPr>
            <w:rFonts w:ascii="Cambria Math" w:hAnsi="Cambria Math"/>
            <w:sz w:val="24"/>
            <w:szCs w:val="24"/>
          </w:rPr>
          <m:t>γ</m:t>
        </m:r>
        <m:sSub>
          <m:sSubPr>
            <m:ctrlPr>
              <w:rPr>
                <w:rFonts w:ascii="Cambria Math" w:hAnsi="Times New Roman"/>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e</m:t>
            </m:r>
          </m:e>
          <m:sub>
            <m:r>
              <w:rPr>
                <w:rFonts w:ascii="Cambria Math" w:hAnsi="Cambria Math"/>
                <w:sz w:val="24"/>
                <w:szCs w:val="24"/>
              </w:rPr>
              <m:t>i</m:t>
            </m:r>
          </m:sub>
        </m:sSub>
      </m:oMath>
      <w:r w:rsidR="003B5CA2" w:rsidRPr="00473C61">
        <w:rPr>
          <w:rFonts w:ascii="Times New Roman" w:hAnsi="Times New Roman"/>
          <w:sz w:val="24"/>
          <w:szCs w:val="24"/>
        </w:rPr>
        <w:t xml:space="preserve">     (4)</w:t>
      </w:r>
    </w:p>
    <w:p w:rsidR="003B5CA2" w:rsidRPr="00473C61" w:rsidRDefault="003B5CA2" w:rsidP="004B1240">
      <w:pPr>
        <w:spacing w:after="0" w:line="480" w:lineRule="auto"/>
        <w:jc w:val="both"/>
        <w:rPr>
          <w:rFonts w:ascii="Times New Roman" w:hAnsi="Times New Roman"/>
          <w:sz w:val="24"/>
          <w:szCs w:val="24"/>
        </w:rPr>
      </w:pPr>
    </w:p>
    <w:p w:rsidR="003B5CA2" w:rsidRPr="00473C61" w:rsidRDefault="003B5CA2" w:rsidP="00DD697D">
      <w:pPr>
        <w:spacing w:after="0" w:line="480" w:lineRule="auto"/>
        <w:jc w:val="both"/>
        <w:rPr>
          <w:rFonts w:ascii="Times New Roman" w:hAnsi="Times New Roman"/>
          <w:sz w:val="24"/>
          <w:szCs w:val="24"/>
        </w:rPr>
      </w:pPr>
      <w:r w:rsidRPr="00473C61">
        <w:rPr>
          <w:rFonts w:ascii="Times New Roman" w:hAnsi="Times New Roman"/>
          <w:sz w:val="24"/>
          <w:szCs w:val="24"/>
        </w:rPr>
        <w:t xml:space="preserve">where </w:t>
      </w:r>
      <w:r w:rsidRPr="00473C61">
        <w:rPr>
          <w:rFonts w:ascii="Times New Roman" w:hAnsi="Times New Roman"/>
          <w:i/>
          <w:sz w:val="24"/>
          <w:szCs w:val="24"/>
        </w:rPr>
        <w:t>NW</w:t>
      </w:r>
      <w:r w:rsidRPr="00473C61">
        <w:rPr>
          <w:rFonts w:ascii="Times New Roman" w:hAnsi="Times New Roman"/>
          <w:sz w:val="24"/>
          <w:szCs w:val="24"/>
          <w:vertAlign w:val="subscript"/>
        </w:rPr>
        <w:t>i</w:t>
      </w:r>
      <w:r w:rsidRPr="00473C61">
        <w:rPr>
          <w:rFonts w:ascii="Times New Roman" w:hAnsi="Times New Roman"/>
          <w:sz w:val="24"/>
          <w:szCs w:val="24"/>
        </w:rPr>
        <w:t xml:space="preserve"> is the probability of being a non-white household.  </w:t>
      </w:r>
      <w:r w:rsidRPr="00473C61">
        <w:rPr>
          <w:rFonts w:ascii="Times New Roman" w:hAnsi="Times New Roman"/>
          <w:i/>
          <w:sz w:val="24"/>
          <w:szCs w:val="24"/>
        </w:rPr>
        <w:t>H</w:t>
      </w:r>
      <w:r w:rsidRPr="00473C61">
        <w:rPr>
          <w:rFonts w:ascii="Times New Roman" w:hAnsi="Times New Roman"/>
          <w:i/>
          <w:sz w:val="24"/>
          <w:szCs w:val="24"/>
          <w:vertAlign w:val="subscript"/>
        </w:rPr>
        <w:t>i</w:t>
      </w:r>
      <w:r w:rsidR="005C752A" w:rsidRPr="00473C61">
        <w:rPr>
          <w:rFonts w:ascii="Times New Roman" w:hAnsi="Times New Roman"/>
          <w:sz w:val="24"/>
          <w:szCs w:val="24"/>
        </w:rPr>
        <w:t xml:space="preserve">, </w:t>
      </w:r>
      <w:r w:rsidR="005C752A" w:rsidRPr="00473C61">
        <w:rPr>
          <w:rFonts w:ascii="Times New Roman" w:hAnsi="Times New Roman"/>
          <w:i/>
          <w:sz w:val="24"/>
          <w:szCs w:val="24"/>
        </w:rPr>
        <w:t>R</w:t>
      </w:r>
      <w:r w:rsidR="005C752A" w:rsidRPr="00473C61">
        <w:rPr>
          <w:rFonts w:ascii="Times New Roman" w:hAnsi="Times New Roman"/>
          <w:i/>
          <w:sz w:val="24"/>
          <w:szCs w:val="24"/>
          <w:vertAlign w:val="subscript"/>
        </w:rPr>
        <w:t>i</w:t>
      </w:r>
      <w:r w:rsidR="005C752A" w:rsidRPr="00473C61">
        <w:rPr>
          <w:rFonts w:ascii="Times New Roman" w:hAnsi="Times New Roman"/>
          <w:sz w:val="24"/>
          <w:szCs w:val="24"/>
          <w:vertAlign w:val="subscript"/>
        </w:rPr>
        <w:t xml:space="preserve">  </w:t>
      </w:r>
      <w:r w:rsidR="005C752A" w:rsidRPr="00473C61">
        <w:rPr>
          <w:rFonts w:ascii="Times New Roman" w:hAnsi="Times New Roman"/>
          <w:sz w:val="24"/>
          <w:szCs w:val="24"/>
        </w:rPr>
        <w:t xml:space="preserve">and </w:t>
      </w:r>
      <w:r w:rsidR="005C752A" w:rsidRPr="00473C61">
        <w:rPr>
          <w:rFonts w:ascii="Times New Roman" w:hAnsi="Times New Roman"/>
          <w:i/>
          <w:sz w:val="24"/>
          <w:szCs w:val="24"/>
        </w:rPr>
        <w:t>X</w:t>
      </w:r>
      <w:r w:rsidR="005C752A" w:rsidRPr="00473C61">
        <w:rPr>
          <w:rFonts w:ascii="Times New Roman" w:hAnsi="Times New Roman"/>
          <w:i/>
          <w:sz w:val="24"/>
          <w:szCs w:val="24"/>
          <w:vertAlign w:val="subscript"/>
        </w:rPr>
        <w:t>t</w:t>
      </w:r>
      <w:r w:rsidR="005C752A" w:rsidRPr="00473C61">
        <w:rPr>
          <w:rFonts w:ascii="Times New Roman" w:hAnsi="Times New Roman"/>
          <w:sz w:val="24"/>
          <w:szCs w:val="24"/>
          <w:vertAlign w:val="subscript"/>
        </w:rPr>
        <w:t xml:space="preserve"> </w:t>
      </w:r>
      <w:r w:rsidR="005C752A" w:rsidRPr="00473C61">
        <w:rPr>
          <w:rFonts w:ascii="Times New Roman" w:hAnsi="Times New Roman"/>
          <w:sz w:val="24"/>
          <w:szCs w:val="24"/>
        </w:rPr>
        <w:t xml:space="preserve"> are as defined above</w:t>
      </w:r>
      <w:r w:rsidR="00F47C88" w:rsidRPr="00473C61">
        <w:rPr>
          <w:rFonts w:ascii="Times New Roman" w:hAnsi="Times New Roman"/>
          <w:sz w:val="24"/>
          <w:szCs w:val="24"/>
        </w:rPr>
        <w:t xml:space="preserve"> in (1)</w:t>
      </w:r>
      <w:r w:rsidR="005C752A" w:rsidRPr="00473C61">
        <w:rPr>
          <w:rFonts w:ascii="Times New Roman" w:hAnsi="Times New Roman"/>
          <w:sz w:val="24"/>
          <w:szCs w:val="24"/>
        </w:rPr>
        <w:t xml:space="preserve">.  </w:t>
      </w:r>
      <w:r w:rsidR="006C760B" w:rsidRPr="00473C61">
        <w:rPr>
          <w:rFonts w:ascii="Times New Roman" w:hAnsi="Times New Roman"/>
          <w:sz w:val="24"/>
          <w:szCs w:val="24"/>
        </w:rPr>
        <w:t xml:space="preserve">Here, we are interested in estimating the effect of this treatment variable in the outcomes variables </w:t>
      </w:r>
      <w:r w:rsidR="006C760B" w:rsidRPr="00473C61">
        <w:rPr>
          <w:rFonts w:ascii="Times New Roman" w:hAnsi="Times New Roman"/>
          <w:i/>
          <w:sz w:val="24"/>
          <w:szCs w:val="24"/>
        </w:rPr>
        <w:t>NoFinancing, NoLoan</w:t>
      </w:r>
      <w:r w:rsidR="00C96539" w:rsidRPr="00473C61">
        <w:rPr>
          <w:rFonts w:ascii="Times New Roman" w:hAnsi="Times New Roman"/>
          <w:sz w:val="24"/>
          <w:szCs w:val="24"/>
        </w:rPr>
        <w:t>,</w:t>
      </w:r>
      <w:r w:rsidR="006C760B" w:rsidRPr="00473C61">
        <w:rPr>
          <w:rFonts w:ascii="Times New Roman" w:hAnsi="Times New Roman"/>
          <w:sz w:val="24"/>
          <w:szCs w:val="24"/>
        </w:rPr>
        <w:t xml:space="preserve"> </w:t>
      </w:r>
      <w:r w:rsidR="006C760B" w:rsidRPr="00473C61">
        <w:rPr>
          <w:rFonts w:ascii="Times New Roman" w:hAnsi="Times New Roman"/>
          <w:i/>
          <w:sz w:val="24"/>
          <w:szCs w:val="24"/>
        </w:rPr>
        <w:t>NoCreditcard</w:t>
      </w:r>
      <w:r w:rsidR="00C96539" w:rsidRPr="00473C61">
        <w:rPr>
          <w:rFonts w:ascii="Times New Roman" w:hAnsi="Times New Roman"/>
          <w:sz w:val="24"/>
          <w:szCs w:val="24"/>
        </w:rPr>
        <w:t xml:space="preserve"> and </w:t>
      </w:r>
      <w:r w:rsidR="00C96539" w:rsidRPr="00473C61">
        <w:rPr>
          <w:rFonts w:ascii="Times New Roman" w:hAnsi="Times New Roman"/>
          <w:i/>
          <w:sz w:val="24"/>
          <w:szCs w:val="24"/>
        </w:rPr>
        <w:t>numberofloans</w:t>
      </w:r>
      <w:r w:rsidR="006C760B" w:rsidRPr="00473C61">
        <w:rPr>
          <w:rFonts w:ascii="Times New Roman" w:hAnsi="Times New Roman"/>
          <w:sz w:val="24"/>
          <w:szCs w:val="24"/>
        </w:rPr>
        <w:t xml:space="preserve"> controlling for the set of covariates described above.</w:t>
      </w:r>
      <w:r w:rsidR="00DD697D" w:rsidRPr="00473C61">
        <w:rPr>
          <w:rFonts w:ascii="Times New Roman" w:hAnsi="Times New Roman"/>
          <w:sz w:val="24"/>
          <w:szCs w:val="24"/>
        </w:rPr>
        <w:t xml:space="preserve">  While we control for a rich set of covariates, it cannot be completely ruled out the existence of unobservable characteristics that may still bias the treatment effect.</w:t>
      </w:r>
    </w:p>
    <w:p w:rsidR="00AC71A5" w:rsidRPr="00473C61" w:rsidRDefault="00AC71A5" w:rsidP="001D6D37">
      <w:pPr>
        <w:spacing w:after="0" w:line="480" w:lineRule="auto"/>
        <w:jc w:val="both"/>
        <w:rPr>
          <w:rFonts w:ascii="Times New Roman" w:hAnsi="Times New Roman"/>
          <w:sz w:val="24"/>
          <w:szCs w:val="24"/>
        </w:rPr>
      </w:pPr>
    </w:p>
    <w:p w:rsidR="005B5C87" w:rsidRPr="00473C61" w:rsidRDefault="00A410B2" w:rsidP="007F4A57">
      <w:pPr>
        <w:numPr>
          <w:ilvl w:val="1"/>
          <w:numId w:val="4"/>
        </w:numPr>
        <w:spacing w:after="0" w:line="480" w:lineRule="auto"/>
        <w:jc w:val="both"/>
        <w:rPr>
          <w:rFonts w:ascii="Times New Roman" w:hAnsi="Times New Roman"/>
          <w:i/>
          <w:sz w:val="24"/>
          <w:szCs w:val="24"/>
        </w:rPr>
      </w:pPr>
      <w:r w:rsidRPr="00473C61">
        <w:rPr>
          <w:rFonts w:ascii="Times New Roman" w:hAnsi="Times New Roman"/>
          <w:i/>
          <w:sz w:val="24"/>
          <w:szCs w:val="24"/>
        </w:rPr>
        <w:t xml:space="preserve">Descriptive statistics </w:t>
      </w:r>
    </w:p>
    <w:p w:rsidR="005B5C87" w:rsidRPr="00473C61" w:rsidRDefault="005B5C87" w:rsidP="00CE5578">
      <w:pPr>
        <w:spacing w:after="0" w:line="480" w:lineRule="auto"/>
        <w:jc w:val="both"/>
        <w:rPr>
          <w:rFonts w:ascii="Times New Roman" w:hAnsi="Times New Roman"/>
          <w:sz w:val="24"/>
          <w:szCs w:val="24"/>
        </w:rPr>
      </w:pPr>
      <w:r w:rsidRPr="00473C61">
        <w:rPr>
          <w:rFonts w:ascii="Times New Roman" w:hAnsi="Times New Roman"/>
          <w:sz w:val="24"/>
          <w:szCs w:val="24"/>
        </w:rPr>
        <w:t xml:space="preserve">Table 1 provides summary statistics </w:t>
      </w:r>
      <w:r w:rsidR="00BA4D5C" w:rsidRPr="00473C61">
        <w:rPr>
          <w:rFonts w:ascii="Times New Roman" w:hAnsi="Times New Roman"/>
          <w:sz w:val="24"/>
          <w:szCs w:val="24"/>
        </w:rPr>
        <w:t xml:space="preserve">of </w:t>
      </w:r>
      <w:r w:rsidRPr="00473C61">
        <w:rPr>
          <w:rFonts w:ascii="Times New Roman" w:hAnsi="Times New Roman"/>
          <w:sz w:val="24"/>
          <w:szCs w:val="24"/>
        </w:rPr>
        <w:t xml:space="preserve">the general </w:t>
      </w:r>
      <w:r w:rsidR="00D45BEC" w:rsidRPr="00473C61">
        <w:rPr>
          <w:rFonts w:ascii="Times New Roman" w:hAnsi="Times New Roman"/>
          <w:sz w:val="24"/>
          <w:szCs w:val="24"/>
        </w:rPr>
        <w:t>features of households</w:t>
      </w:r>
      <w:r w:rsidRPr="00473C61">
        <w:rPr>
          <w:rFonts w:ascii="Times New Roman" w:hAnsi="Times New Roman"/>
          <w:sz w:val="24"/>
          <w:szCs w:val="24"/>
        </w:rPr>
        <w:t xml:space="preserve"> and </w:t>
      </w:r>
      <w:r w:rsidR="00074042" w:rsidRPr="00473C61">
        <w:rPr>
          <w:rFonts w:ascii="Times New Roman" w:hAnsi="Times New Roman"/>
          <w:sz w:val="24"/>
          <w:szCs w:val="24"/>
        </w:rPr>
        <w:t>source of financing.</w:t>
      </w:r>
      <w:r w:rsidR="00BA4D5C" w:rsidRPr="00473C61">
        <w:rPr>
          <w:rFonts w:ascii="Times New Roman" w:hAnsi="Times New Roman"/>
          <w:sz w:val="24"/>
          <w:szCs w:val="24"/>
        </w:rPr>
        <w:t xml:space="preserve"> </w:t>
      </w:r>
      <w:r w:rsidR="00074042" w:rsidRPr="00473C61">
        <w:rPr>
          <w:rFonts w:ascii="Times New Roman" w:hAnsi="Times New Roman"/>
          <w:sz w:val="24"/>
          <w:szCs w:val="24"/>
        </w:rPr>
        <w:t xml:space="preserve"> </w:t>
      </w:r>
      <w:r w:rsidRPr="00473C61">
        <w:rPr>
          <w:rFonts w:ascii="Times New Roman" w:hAnsi="Times New Roman"/>
          <w:sz w:val="24"/>
          <w:szCs w:val="24"/>
        </w:rPr>
        <w:t xml:space="preserve">As mentioned </w:t>
      </w:r>
      <w:r w:rsidR="00D0098D" w:rsidRPr="00473C61">
        <w:rPr>
          <w:rFonts w:ascii="Times New Roman" w:hAnsi="Times New Roman"/>
          <w:sz w:val="24"/>
          <w:szCs w:val="24"/>
        </w:rPr>
        <w:t>earlier</w:t>
      </w:r>
      <w:r w:rsidRPr="00473C61">
        <w:rPr>
          <w:rFonts w:ascii="Times New Roman" w:hAnsi="Times New Roman"/>
          <w:sz w:val="24"/>
          <w:szCs w:val="24"/>
        </w:rPr>
        <w:t xml:space="preserve">, the household is represented by the characteristics of </w:t>
      </w:r>
      <w:r w:rsidR="00D45BEC" w:rsidRPr="00473C61">
        <w:rPr>
          <w:rFonts w:ascii="Times New Roman" w:hAnsi="Times New Roman"/>
          <w:sz w:val="24"/>
          <w:szCs w:val="24"/>
        </w:rPr>
        <w:t>a reference</w:t>
      </w:r>
      <w:r w:rsidRPr="00473C61">
        <w:rPr>
          <w:rFonts w:ascii="Times New Roman" w:hAnsi="Times New Roman"/>
          <w:sz w:val="24"/>
          <w:szCs w:val="24"/>
        </w:rPr>
        <w:t xml:space="preserve"> person and he/she is assumed to be the most influential within the household to make decisions.  Variables represented by the household reference person </w:t>
      </w:r>
      <w:r w:rsidR="00D0098D" w:rsidRPr="00473C61">
        <w:rPr>
          <w:rFonts w:ascii="Times New Roman" w:hAnsi="Times New Roman"/>
          <w:sz w:val="24"/>
          <w:szCs w:val="24"/>
        </w:rPr>
        <w:t>cover</w:t>
      </w:r>
      <w:r w:rsidRPr="00473C61">
        <w:rPr>
          <w:rFonts w:ascii="Times New Roman" w:hAnsi="Times New Roman"/>
          <w:sz w:val="24"/>
          <w:szCs w:val="24"/>
        </w:rPr>
        <w:t xml:space="preserve"> </w:t>
      </w:r>
      <w:r w:rsidRPr="00473C61">
        <w:rPr>
          <w:rFonts w:ascii="Times New Roman" w:hAnsi="Times New Roman"/>
          <w:i/>
          <w:sz w:val="24"/>
          <w:szCs w:val="24"/>
        </w:rPr>
        <w:t>racial ori</w:t>
      </w:r>
      <w:r w:rsidR="006A4B38" w:rsidRPr="00473C61">
        <w:rPr>
          <w:rFonts w:ascii="Times New Roman" w:hAnsi="Times New Roman"/>
          <w:i/>
          <w:sz w:val="24"/>
          <w:szCs w:val="24"/>
        </w:rPr>
        <w:t>gin, age, employment status, occupational classification, educational attainment</w:t>
      </w:r>
      <w:r w:rsidR="00DB084C" w:rsidRPr="00473C61">
        <w:rPr>
          <w:rFonts w:ascii="Times New Roman" w:hAnsi="Times New Roman"/>
          <w:i/>
          <w:sz w:val="24"/>
          <w:szCs w:val="24"/>
        </w:rPr>
        <w:t xml:space="preserve">, gender </w:t>
      </w:r>
      <w:r w:rsidR="00DB084C" w:rsidRPr="00473C61">
        <w:rPr>
          <w:rFonts w:ascii="Times New Roman" w:hAnsi="Times New Roman"/>
          <w:sz w:val="24"/>
          <w:szCs w:val="24"/>
        </w:rPr>
        <w:t>and</w:t>
      </w:r>
      <w:r w:rsidR="00DB084C" w:rsidRPr="00473C61">
        <w:rPr>
          <w:rFonts w:ascii="Times New Roman" w:hAnsi="Times New Roman"/>
          <w:i/>
          <w:sz w:val="24"/>
          <w:szCs w:val="24"/>
        </w:rPr>
        <w:t xml:space="preserve"> marital status</w:t>
      </w:r>
      <w:r w:rsidRPr="00473C61">
        <w:rPr>
          <w:rFonts w:ascii="Times New Roman" w:hAnsi="Times New Roman"/>
          <w:sz w:val="24"/>
          <w:szCs w:val="24"/>
        </w:rPr>
        <w:t>.   Other variables reflect the attributes of the household.</w:t>
      </w:r>
      <w:r w:rsidR="006A4B38" w:rsidRPr="00473C61">
        <w:rPr>
          <w:rFonts w:ascii="Times New Roman" w:hAnsi="Times New Roman"/>
          <w:sz w:val="24"/>
          <w:szCs w:val="24"/>
        </w:rPr>
        <w:t xml:space="preserve">  </w:t>
      </w:r>
      <w:r w:rsidR="00CE5578" w:rsidRPr="00473C61">
        <w:rPr>
          <w:rFonts w:ascii="Times New Roman" w:hAnsi="Times New Roman"/>
          <w:sz w:val="24"/>
          <w:szCs w:val="24"/>
        </w:rPr>
        <w:t xml:space="preserve">The percentage of white </w:t>
      </w:r>
      <w:r w:rsidR="00AC74E3" w:rsidRPr="00473C61">
        <w:rPr>
          <w:rFonts w:ascii="Times New Roman" w:hAnsi="Times New Roman"/>
          <w:sz w:val="24"/>
          <w:szCs w:val="24"/>
        </w:rPr>
        <w:t xml:space="preserve">households </w:t>
      </w:r>
      <w:r w:rsidR="00CE5578" w:rsidRPr="00473C61">
        <w:rPr>
          <w:rFonts w:ascii="Times New Roman" w:hAnsi="Times New Roman"/>
          <w:sz w:val="24"/>
          <w:szCs w:val="24"/>
        </w:rPr>
        <w:t xml:space="preserve">neither paying </w:t>
      </w:r>
      <w:r w:rsidR="00AC74E3" w:rsidRPr="00473C61">
        <w:rPr>
          <w:rFonts w:ascii="Times New Roman" w:hAnsi="Times New Roman"/>
          <w:sz w:val="24"/>
          <w:szCs w:val="24"/>
        </w:rPr>
        <w:t xml:space="preserve">off </w:t>
      </w:r>
      <w:r w:rsidR="00CE5578" w:rsidRPr="00473C61">
        <w:rPr>
          <w:rFonts w:ascii="Times New Roman" w:hAnsi="Times New Roman"/>
          <w:sz w:val="24"/>
          <w:szCs w:val="24"/>
        </w:rPr>
        <w:t xml:space="preserve">a loan nor owning a credit card is 31.7 while this figure </w:t>
      </w:r>
      <w:r w:rsidR="00AC74E3" w:rsidRPr="00473C61">
        <w:rPr>
          <w:rFonts w:ascii="Times New Roman" w:hAnsi="Times New Roman"/>
          <w:sz w:val="24"/>
          <w:szCs w:val="24"/>
        </w:rPr>
        <w:t xml:space="preserve">is </w:t>
      </w:r>
      <w:r w:rsidR="00CE5578" w:rsidRPr="00473C61">
        <w:rPr>
          <w:rFonts w:ascii="Times New Roman" w:hAnsi="Times New Roman"/>
          <w:sz w:val="24"/>
          <w:szCs w:val="24"/>
        </w:rPr>
        <w:t>35.4 percent for non-white households. Compared to non-white households, a larger</w:t>
      </w:r>
      <w:r w:rsidR="00665222" w:rsidRPr="00473C61">
        <w:rPr>
          <w:rFonts w:ascii="Times New Roman" w:hAnsi="Times New Roman"/>
          <w:sz w:val="24"/>
          <w:szCs w:val="24"/>
        </w:rPr>
        <w:t xml:space="preserve"> percentage of white households</w:t>
      </w:r>
      <w:r w:rsidR="00AC74E3" w:rsidRPr="00473C61">
        <w:rPr>
          <w:rFonts w:ascii="Times New Roman" w:hAnsi="Times New Roman"/>
          <w:sz w:val="24"/>
          <w:szCs w:val="24"/>
        </w:rPr>
        <w:t xml:space="preserve"> </w:t>
      </w:r>
      <w:r w:rsidR="00CE5578" w:rsidRPr="00473C61">
        <w:rPr>
          <w:rFonts w:ascii="Times New Roman" w:hAnsi="Times New Roman"/>
          <w:sz w:val="24"/>
          <w:szCs w:val="24"/>
        </w:rPr>
        <w:t xml:space="preserve">are paying of loans (25.4 and 28.6, respectively) and own a credit card (57.8 and 60.7, respectively).  </w:t>
      </w:r>
      <w:r w:rsidRPr="00473C61">
        <w:rPr>
          <w:rFonts w:ascii="Times New Roman" w:hAnsi="Times New Roman"/>
          <w:sz w:val="24"/>
          <w:szCs w:val="24"/>
        </w:rPr>
        <w:t xml:space="preserve">A majority of households are either mortgagors or outright owners of the homes they live in.  Average </w:t>
      </w:r>
      <w:r w:rsidR="00D0098D" w:rsidRPr="00473C61">
        <w:rPr>
          <w:rFonts w:ascii="Times New Roman" w:hAnsi="Times New Roman"/>
          <w:sz w:val="24"/>
          <w:szCs w:val="24"/>
        </w:rPr>
        <w:t xml:space="preserve">weekly </w:t>
      </w:r>
      <w:r w:rsidRPr="00473C61">
        <w:rPr>
          <w:rFonts w:ascii="Times New Roman" w:hAnsi="Times New Roman"/>
          <w:sz w:val="24"/>
          <w:szCs w:val="24"/>
        </w:rPr>
        <w:t xml:space="preserve">household income is £419 </w:t>
      </w:r>
      <w:r w:rsidR="00D45BEC" w:rsidRPr="00473C61">
        <w:rPr>
          <w:rFonts w:ascii="Times New Roman" w:hAnsi="Times New Roman"/>
          <w:sz w:val="24"/>
          <w:szCs w:val="24"/>
        </w:rPr>
        <w:t>while average</w:t>
      </w:r>
      <w:r w:rsidR="00DB084C" w:rsidRPr="00473C61">
        <w:rPr>
          <w:rFonts w:ascii="Times New Roman" w:hAnsi="Times New Roman"/>
          <w:sz w:val="24"/>
          <w:szCs w:val="24"/>
        </w:rPr>
        <w:t xml:space="preserve"> expenditure is £3</w:t>
      </w:r>
      <w:r w:rsidRPr="00473C61">
        <w:rPr>
          <w:rFonts w:ascii="Times New Roman" w:hAnsi="Times New Roman"/>
          <w:sz w:val="24"/>
          <w:szCs w:val="24"/>
        </w:rPr>
        <w:t>5</w:t>
      </w:r>
      <w:r w:rsidR="00DB084C" w:rsidRPr="00473C61">
        <w:rPr>
          <w:rFonts w:ascii="Times New Roman" w:hAnsi="Times New Roman"/>
          <w:sz w:val="24"/>
          <w:szCs w:val="24"/>
        </w:rPr>
        <w:t>9</w:t>
      </w:r>
      <w:r w:rsidRPr="00473C61">
        <w:rPr>
          <w:rFonts w:ascii="Times New Roman" w:hAnsi="Times New Roman"/>
          <w:sz w:val="24"/>
          <w:szCs w:val="24"/>
        </w:rPr>
        <w:t xml:space="preserve">.  Average household size is 2.4 members with the </w:t>
      </w:r>
      <w:r w:rsidR="00D0098D" w:rsidRPr="00473C61">
        <w:rPr>
          <w:rFonts w:ascii="Times New Roman" w:hAnsi="Times New Roman"/>
          <w:sz w:val="24"/>
          <w:szCs w:val="24"/>
        </w:rPr>
        <w:t xml:space="preserve">most </w:t>
      </w:r>
      <w:r w:rsidR="00D45BEC" w:rsidRPr="00473C61">
        <w:rPr>
          <w:rFonts w:ascii="Times New Roman" w:hAnsi="Times New Roman"/>
          <w:sz w:val="24"/>
          <w:szCs w:val="24"/>
        </w:rPr>
        <w:t>common category</w:t>
      </w:r>
      <w:r w:rsidRPr="00473C61">
        <w:rPr>
          <w:rFonts w:ascii="Times New Roman" w:hAnsi="Times New Roman"/>
          <w:sz w:val="24"/>
          <w:szCs w:val="24"/>
        </w:rPr>
        <w:t xml:space="preserve"> being 2 members per household.  Average age for the household reference person is 51.6 and 59.2 percent of all household heads are employed.  50.6 percent of all household</w:t>
      </w:r>
      <w:r w:rsidR="00EE21A1" w:rsidRPr="00473C61">
        <w:rPr>
          <w:rFonts w:ascii="Times New Roman" w:hAnsi="Times New Roman"/>
          <w:sz w:val="24"/>
          <w:szCs w:val="24"/>
        </w:rPr>
        <w:t xml:space="preserve"> </w:t>
      </w:r>
      <w:r w:rsidR="00EE21A1" w:rsidRPr="00473C61">
        <w:rPr>
          <w:rFonts w:ascii="Times New Roman" w:hAnsi="Times New Roman"/>
          <w:sz w:val="24"/>
          <w:szCs w:val="24"/>
        </w:rPr>
        <w:lastRenderedPageBreak/>
        <w:t>reference persons are married</w:t>
      </w:r>
      <w:r w:rsidRPr="00473C61">
        <w:rPr>
          <w:rFonts w:ascii="Times New Roman" w:hAnsi="Times New Roman"/>
          <w:sz w:val="24"/>
          <w:szCs w:val="24"/>
        </w:rPr>
        <w:t>.  In terms of gender</w:t>
      </w:r>
      <w:r w:rsidR="00EE21A1" w:rsidRPr="00473C61">
        <w:rPr>
          <w:rFonts w:ascii="Times New Roman" w:hAnsi="Times New Roman"/>
          <w:sz w:val="24"/>
          <w:szCs w:val="24"/>
        </w:rPr>
        <w:t>,</w:t>
      </w:r>
      <w:r w:rsidRPr="00473C61">
        <w:rPr>
          <w:rFonts w:ascii="Times New Roman" w:hAnsi="Times New Roman"/>
          <w:sz w:val="24"/>
          <w:szCs w:val="24"/>
        </w:rPr>
        <w:t xml:space="preserve"> 62.1 percent of all household reference persons are male.  </w:t>
      </w:r>
    </w:p>
    <w:p w:rsidR="005B5C87" w:rsidRPr="00473C61" w:rsidRDefault="005B5C87" w:rsidP="001D6D37">
      <w:pPr>
        <w:spacing w:after="0" w:line="480" w:lineRule="auto"/>
        <w:jc w:val="both"/>
        <w:rPr>
          <w:rFonts w:ascii="Times New Roman" w:hAnsi="Times New Roman"/>
          <w:sz w:val="24"/>
          <w:szCs w:val="24"/>
        </w:rPr>
      </w:pPr>
    </w:p>
    <w:p w:rsidR="005B5C87" w:rsidRPr="00473C61" w:rsidRDefault="00F74045" w:rsidP="001D6D37">
      <w:pPr>
        <w:numPr>
          <w:ilvl w:val="0"/>
          <w:numId w:val="4"/>
        </w:numPr>
        <w:autoSpaceDE w:val="0"/>
        <w:autoSpaceDN w:val="0"/>
        <w:adjustRightInd w:val="0"/>
        <w:spacing w:after="0" w:line="480" w:lineRule="auto"/>
        <w:jc w:val="both"/>
        <w:rPr>
          <w:rFonts w:ascii="Times New Roman" w:hAnsi="Times New Roman"/>
          <w:b/>
          <w:sz w:val="24"/>
          <w:szCs w:val="24"/>
        </w:rPr>
      </w:pPr>
      <w:r w:rsidRPr="00473C61">
        <w:rPr>
          <w:rFonts w:ascii="Times New Roman" w:hAnsi="Times New Roman"/>
          <w:b/>
          <w:sz w:val="24"/>
          <w:szCs w:val="24"/>
        </w:rPr>
        <w:t>EMP</w:t>
      </w:r>
      <w:r w:rsidR="00B45962" w:rsidRPr="00473C61">
        <w:rPr>
          <w:rFonts w:ascii="Times New Roman" w:hAnsi="Times New Roman"/>
          <w:b/>
          <w:sz w:val="24"/>
          <w:szCs w:val="24"/>
        </w:rPr>
        <w:t>I</w:t>
      </w:r>
      <w:r w:rsidRPr="00473C61">
        <w:rPr>
          <w:rFonts w:ascii="Times New Roman" w:hAnsi="Times New Roman"/>
          <w:b/>
          <w:sz w:val="24"/>
          <w:szCs w:val="24"/>
        </w:rPr>
        <w:t>RICAL RESULTS</w:t>
      </w:r>
    </w:p>
    <w:p w:rsidR="0062351C" w:rsidRPr="00473C61" w:rsidRDefault="0062351C" w:rsidP="001D6D37">
      <w:pPr>
        <w:autoSpaceDE w:val="0"/>
        <w:autoSpaceDN w:val="0"/>
        <w:adjustRightInd w:val="0"/>
        <w:spacing w:after="0" w:line="480" w:lineRule="auto"/>
        <w:ind w:left="426"/>
        <w:jc w:val="both"/>
        <w:rPr>
          <w:rFonts w:ascii="Times New Roman" w:hAnsi="Times New Roman"/>
          <w:i/>
          <w:sz w:val="24"/>
          <w:szCs w:val="24"/>
        </w:rPr>
      </w:pPr>
    </w:p>
    <w:p w:rsidR="005B5C87" w:rsidRPr="00473C61" w:rsidRDefault="00A410B2" w:rsidP="001D6D37">
      <w:pPr>
        <w:numPr>
          <w:ilvl w:val="1"/>
          <w:numId w:val="4"/>
        </w:numPr>
        <w:autoSpaceDE w:val="0"/>
        <w:autoSpaceDN w:val="0"/>
        <w:adjustRightInd w:val="0"/>
        <w:spacing w:after="0" w:line="480" w:lineRule="auto"/>
        <w:ind w:left="426" w:hanging="426"/>
        <w:jc w:val="both"/>
        <w:rPr>
          <w:rFonts w:ascii="Times New Roman" w:hAnsi="Times New Roman"/>
          <w:i/>
          <w:sz w:val="24"/>
          <w:szCs w:val="24"/>
        </w:rPr>
      </w:pPr>
      <w:r w:rsidRPr="00473C61">
        <w:rPr>
          <w:rFonts w:ascii="Times New Roman" w:hAnsi="Times New Roman"/>
          <w:i/>
          <w:sz w:val="24"/>
          <w:szCs w:val="24"/>
        </w:rPr>
        <w:t xml:space="preserve">Baseline </w:t>
      </w:r>
      <w:r w:rsidR="0062351C" w:rsidRPr="00473C61">
        <w:rPr>
          <w:rFonts w:ascii="Times New Roman" w:hAnsi="Times New Roman"/>
          <w:i/>
          <w:sz w:val="24"/>
          <w:szCs w:val="24"/>
        </w:rPr>
        <w:t>m</w:t>
      </w:r>
      <w:r w:rsidRPr="00473C61">
        <w:rPr>
          <w:rFonts w:ascii="Times New Roman" w:hAnsi="Times New Roman"/>
          <w:i/>
          <w:sz w:val="24"/>
          <w:szCs w:val="24"/>
        </w:rPr>
        <w:t>odel</w:t>
      </w:r>
    </w:p>
    <w:p w:rsidR="00F169EF" w:rsidRPr="00473C61" w:rsidRDefault="008B6D7A" w:rsidP="00F169EF">
      <w:pPr>
        <w:autoSpaceDE w:val="0"/>
        <w:autoSpaceDN w:val="0"/>
        <w:adjustRightInd w:val="0"/>
        <w:spacing w:after="0" w:line="480" w:lineRule="auto"/>
        <w:jc w:val="both"/>
        <w:rPr>
          <w:rFonts w:ascii="Times New Roman" w:hAnsi="Times New Roman"/>
          <w:sz w:val="24"/>
          <w:szCs w:val="24"/>
        </w:rPr>
      </w:pPr>
      <w:r w:rsidRPr="00473C61">
        <w:rPr>
          <w:rFonts w:ascii="Times New Roman" w:hAnsi="Times New Roman"/>
          <w:sz w:val="24"/>
          <w:szCs w:val="24"/>
        </w:rPr>
        <w:t>At the outset, w</w:t>
      </w:r>
      <w:r w:rsidR="005B5C87" w:rsidRPr="00473C61">
        <w:rPr>
          <w:rFonts w:ascii="Times New Roman" w:hAnsi="Times New Roman"/>
          <w:sz w:val="24"/>
          <w:szCs w:val="24"/>
        </w:rPr>
        <w:t xml:space="preserve">e estimate the probability of </w:t>
      </w:r>
      <w:r w:rsidR="00D513D9" w:rsidRPr="00473C61">
        <w:rPr>
          <w:rFonts w:ascii="Times New Roman" w:hAnsi="Times New Roman"/>
          <w:sz w:val="24"/>
          <w:szCs w:val="24"/>
        </w:rPr>
        <w:t>households having</w:t>
      </w:r>
      <w:r w:rsidR="008A40D6" w:rsidRPr="00473C61">
        <w:rPr>
          <w:rFonts w:ascii="Times New Roman" w:hAnsi="Times New Roman"/>
          <w:sz w:val="24"/>
          <w:szCs w:val="24"/>
        </w:rPr>
        <w:t xml:space="preserve"> </w:t>
      </w:r>
      <w:r w:rsidR="00D513D9" w:rsidRPr="00473C61">
        <w:rPr>
          <w:rFonts w:ascii="Times New Roman" w:hAnsi="Times New Roman"/>
          <w:sz w:val="24"/>
          <w:szCs w:val="24"/>
        </w:rPr>
        <w:t xml:space="preserve">a source of </w:t>
      </w:r>
      <w:r w:rsidR="008A40D6" w:rsidRPr="00473C61">
        <w:rPr>
          <w:rFonts w:ascii="Times New Roman" w:hAnsi="Times New Roman"/>
          <w:sz w:val="24"/>
          <w:szCs w:val="24"/>
        </w:rPr>
        <w:t xml:space="preserve">consumer </w:t>
      </w:r>
      <w:r w:rsidR="00731907" w:rsidRPr="00473C61">
        <w:rPr>
          <w:rFonts w:ascii="Times New Roman" w:hAnsi="Times New Roman"/>
          <w:sz w:val="24"/>
          <w:szCs w:val="24"/>
        </w:rPr>
        <w:t xml:space="preserve">credit </w:t>
      </w:r>
      <w:r w:rsidR="008A40D6" w:rsidRPr="00473C61">
        <w:rPr>
          <w:rFonts w:ascii="Times New Roman" w:hAnsi="Times New Roman"/>
          <w:sz w:val="24"/>
          <w:szCs w:val="24"/>
        </w:rPr>
        <w:t>using</w:t>
      </w:r>
      <w:r w:rsidR="005B5C87" w:rsidRPr="00473C61">
        <w:rPr>
          <w:rFonts w:ascii="Times New Roman" w:hAnsi="Times New Roman"/>
          <w:sz w:val="24"/>
          <w:szCs w:val="24"/>
        </w:rPr>
        <w:t xml:space="preserve"> probit </w:t>
      </w:r>
      <w:r w:rsidR="00DB084C" w:rsidRPr="00473C61">
        <w:rPr>
          <w:rFonts w:ascii="Times New Roman" w:hAnsi="Times New Roman"/>
          <w:sz w:val="24"/>
          <w:szCs w:val="24"/>
        </w:rPr>
        <w:t>estimators</w:t>
      </w:r>
      <w:r w:rsidR="00EF0880" w:rsidRPr="00473C61">
        <w:rPr>
          <w:rFonts w:ascii="Times New Roman" w:hAnsi="Times New Roman"/>
          <w:sz w:val="24"/>
          <w:szCs w:val="24"/>
        </w:rPr>
        <w:t xml:space="preserve"> </w:t>
      </w:r>
      <w:r w:rsidR="00D0098D" w:rsidRPr="00473C61">
        <w:rPr>
          <w:rFonts w:ascii="Times New Roman" w:hAnsi="Times New Roman"/>
          <w:sz w:val="24"/>
          <w:szCs w:val="24"/>
        </w:rPr>
        <w:t xml:space="preserve">following </w:t>
      </w:r>
      <w:r w:rsidR="00022348" w:rsidRPr="00473C61">
        <w:rPr>
          <w:rFonts w:ascii="Times New Roman" w:hAnsi="Times New Roman"/>
          <w:sz w:val="24"/>
          <w:szCs w:val="24"/>
        </w:rPr>
        <w:t xml:space="preserve">the </w:t>
      </w:r>
      <w:r w:rsidR="00D75EF4" w:rsidRPr="00473C61">
        <w:rPr>
          <w:rFonts w:ascii="Times New Roman" w:hAnsi="Times New Roman"/>
          <w:sz w:val="24"/>
          <w:szCs w:val="24"/>
        </w:rPr>
        <w:t xml:space="preserve">previous discrimination and financial </w:t>
      </w:r>
      <w:r w:rsidR="00D0098D" w:rsidRPr="00473C61">
        <w:rPr>
          <w:rFonts w:ascii="Times New Roman" w:hAnsi="Times New Roman"/>
          <w:sz w:val="24"/>
          <w:szCs w:val="24"/>
        </w:rPr>
        <w:t>exclusion literature</w:t>
      </w:r>
      <w:r w:rsidR="00D530BA" w:rsidRPr="00473C61">
        <w:rPr>
          <w:rFonts w:ascii="Times New Roman" w:hAnsi="Times New Roman"/>
          <w:sz w:val="24"/>
          <w:szCs w:val="24"/>
        </w:rPr>
        <w:t xml:space="preserve"> </w:t>
      </w:r>
      <w:r w:rsidR="00EF0880" w:rsidRPr="00473C61">
        <w:rPr>
          <w:rFonts w:ascii="Times New Roman" w:hAnsi="Times New Roman"/>
          <w:sz w:val="24"/>
          <w:szCs w:val="24"/>
        </w:rPr>
        <w:t>(such as Duca and Rosenthal, 1993; Munnell</w:t>
      </w:r>
      <w:r w:rsidR="008F0C06" w:rsidRPr="00473C61">
        <w:rPr>
          <w:rFonts w:ascii="Times New Roman" w:hAnsi="Times New Roman"/>
          <w:sz w:val="24"/>
          <w:szCs w:val="24"/>
        </w:rPr>
        <w:t>,</w:t>
      </w:r>
      <w:r w:rsidR="00EF0880" w:rsidRPr="00473C61">
        <w:rPr>
          <w:rFonts w:ascii="Times New Roman" w:hAnsi="Times New Roman"/>
          <w:sz w:val="24"/>
          <w:szCs w:val="24"/>
        </w:rPr>
        <w:t xml:space="preserve"> </w:t>
      </w:r>
      <w:r w:rsidR="00002409" w:rsidRPr="00473C61">
        <w:rPr>
          <w:rFonts w:ascii="Times New Roman" w:hAnsi="Times New Roman"/>
          <w:sz w:val="24"/>
          <w:szCs w:val="24"/>
        </w:rPr>
        <w:t>et al.</w:t>
      </w:r>
      <w:r w:rsidR="00EF0880" w:rsidRPr="00473C61">
        <w:rPr>
          <w:rFonts w:ascii="Times New Roman" w:hAnsi="Times New Roman"/>
          <w:sz w:val="24"/>
          <w:szCs w:val="24"/>
        </w:rPr>
        <w:t xml:space="preserve">, 1996; Tootell, 1996; </w:t>
      </w:r>
      <w:r w:rsidR="00022348" w:rsidRPr="00473C61">
        <w:rPr>
          <w:rFonts w:ascii="Times New Roman" w:hAnsi="Times New Roman"/>
          <w:sz w:val="24"/>
          <w:szCs w:val="24"/>
        </w:rPr>
        <w:t xml:space="preserve">Devlin, 2005; Kempson, 2009; </w:t>
      </w:r>
      <w:r w:rsidR="00D75EF4" w:rsidRPr="00473C61">
        <w:rPr>
          <w:rFonts w:ascii="Times New Roman" w:hAnsi="Times New Roman"/>
          <w:sz w:val="24"/>
          <w:szCs w:val="24"/>
        </w:rPr>
        <w:t xml:space="preserve">Finney and Kempson, 2009; </w:t>
      </w:r>
      <w:r w:rsidR="00EF0880" w:rsidRPr="00473C61">
        <w:rPr>
          <w:rFonts w:ascii="Times New Roman" w:hAnsi="Times New Roman"/>
          <w:sz w:val="24"/>
          <w:szCs w:val="24"/>
        </w:rPr>
        <w:t>Han, 2011).</w:t>
      </w:r>
      <w:r w:rsidR="008A40D6" w:rsidRPr="00473C61">
        <w:rPr>
          <w:rFonts w:ascii="Times New Roman" w:hAnsi="Times New Roman"/>
          <w:sz w:val="24"/>
          <w:szCs w:val="24"/>
        </w:rPr>
        <w:t xml:space="preserve"> </w:t>
      </w:r>
      <w:r w:rsidR="00CC78FA" w:rsidRPr="00473C61">
        <w:rPr>
          <w:rFonts w:ascii="Times New Roman" w:hAnsi="Times New Roman"/>
          <w:sz w:val="24"/>
          <w:szCs w:val="24"/>
        </w:rPr>
        <w:t xml:space="preserve"> </w:t>
      </w:r>
      <w:r w:rsidR="005B5C87" w:rsidRPr="00473C61">
        <w:rPr>
          <w:rFonts w:ascii="Times New Roman" w:hAnsi="Times New Roman"/>
          <w:sz w:val="24"/>
          <w:szCs w:val="24"/>
        </w:rPr>
        <w:t>Results of the baseline model are presented in Table 2</w:t>
      </w:r>
      <w:r w:rsidR="00CE0D56" w:rsidRPr="00473C61">
        <w:rPr>
          <w:rFonts w:ascii="Times New Roman" w:hAnsi="Times New Roman"/>
          <w:sz w:val="24"/>
          <w:szCs w:val="24"/>
        </w:rPr>
        <w:t xml:space="preserve"> </w:t>
      </w:r>
      <w:r w:rsidR="00951590" w:rsidRPr="00473C61">
        <w:rPr>
          <w:rFonts w:ascii="Times New Roman" w:hAnsi="Times New Roman"/>
          <w:sz w:val="24"/>
          <w:szCs w:val="24"/>
        </w:rPr>
        <w:t xml:space="preserve">in </w:t>
      </w:r>
      <w:r w:rsidR="00F169EF" w:rsidRPr="00473C61">
        <w:rPr>
          <w:rFonts w:ascii="Times New Roman" w:hAnsi="Times New Roman"/>
          <w:sz w:val="24"/>
          <w:szCs w:val="24"/>
        </w:rPr>
        <w:t xml:space="preserve">the first </w:t>
      </w:r>
      <w:r w:rsidR="00951590" w:rsidRPr="00473C61">
        <w:rPr>
          <w:rFonts w:ascii="Times New Roman" w:hAnsi="Times New Roman"/>
          <w:sz w:val="24"/>
          <w:szCs w:val="24"/>
        </w:rPr>
        <w:t>three columns employing the dependent variables (</w:t>
      </w:r>
      <w:r w:rsidR="006A4B38" w:rsidRPr="00473C61">
        <w:rPr>
          <w:rFonts w:ascii="Times New Roman" w:hAnsi="Times New Roman"/>
          <w:i/>
          <w:sz w:val="24"/>
          <w:szCs w:val="24"/>
        </w:rPr>
        <w:t>NoF</w:t>
      </w:r>
      <w:r w:rsidR="00951590" w:rsidRPr="00473C61">
        <w:rPr>
          <w:rFonts w:ascii="Times New Roman" w:hAnsi="Times New Roman"/>
          <w:i/>
          <w:sz w:val="24"/>
          <w:szCs w:val="24"/>
        </w:rPr>
        <w:t>inancing</w:t>
      </w:r>
      <w:r w:rsidR="00951590" w:rsidRPr="00473C61">
        <w:rPr>
          <w:rFonts w:ascii="Times New Roman" w:hAnsi="Times New Roman"/>
          <w:sz w:val="24"/>
          <w:szCs w:val="24"/>
        </w:rPr>
        <w:t xml:space="preserve">, </w:t>
      </w:r>
      <w:r w:rsidR="006A4B38" w:rsidRPr="00473C61">
        <w:rPr>
          <w:rFonts w:ascii="Times New Roman" w:hAnsi="Times New Roman"/>
          <w:i/>
          <w:sz w:val="24"/>
          <w:szCs w:val="24"/>
        </w:rPr>
        <w:t>NoL</w:t>
      </w:r>
      <w:r w:rsidR="00951590" w:rsidRPr="00473C61">
        <w:rPr>
          <w:rFonts w:ascii="Times New Roman" w:hAnsi="Times New Roman"/>
          <w:i/>
          <w:sz w:val="24"/>
          <w:szCs w:val="24"/>
        </w:rPr>
        <w:t xml:space="preserve">oan </w:t>
      </w:r>
      <w:r w:rsidR="00951590" w:rsidRPr="00473C61">
        <w:rPr>
          <w:rFonts w:ascii="Times New Roman" w:hAnsi="Times New Roman"/>
          <w:sz w:val="24"/>
          <w:szCs w:val="24"/>
        </w:rPr>
        <w:t xml:space="preserve">and </w:t>
      </w:r>
      <w:r w:rsidR="006A4B38" w:rsidRPr="00473C61">
        <w:rPr>
          <w:rFonts w:ascii="Times New Roman" w:hAnsi="Times New Roman"/>
          <w:i/>
          <w:sz w:val="24"/>
          <w:szCs w:val="24"/>
        </w:rPr>
        <w:t>NoC</w:t>
      </w:r>
      <w:r w:rsidR="00951590" w:rsidRPr="00473C61">
        <w:rPr>
          <w:rFonts w:ascii="Times New Roman" w:hAnsi="Times New Roman"/>
          <w:i/>
          <w:sz w:val="24"/>
          <w:szCs w:val="24"/>
        </w:rPr>
        <w:t>redit</w:t>
      </w:r>
      <w:r w:rsidR="006A4B38" w:rsidRPr="00473C61">
        <w:rPr>
          <w:rFonts w:ascii="Times New Roman" w:hAnsi="Times New Roman"/>
          <w:i/>
          <w:sz w:val="24"/>
          <w:szCs w:val="24"/>
        </w:rPr>
        <w:t>c</w:t>
      </w:r>
      <w:r w:rsidR="00951590" w:rsidRPr="00473C61">
        <w:rPr>
          <w:rFonts w:ascii="Times New Roman" w:hAnsi="Times New Roman"/>
          <w:i/>
          <w:sz w:val="24"/>
          <w:szCs w:val="24"/>
        </w:rPr>
        <w:t>ard</w:t>
      </w:r>
      <w:r w:rsidR="00951590" w:rsidRPr="00473C61">
        <w:rPr>
          <w:rFonts w:ascii="Times New Roman" w:hAnsi="Times New Roman"/>
          <w:sz w:val="24"/>
          <w:szCs w:val="24"/>
        </w:rPr>
        <w:t xml:space="preserve">) one at a time. </w:t>
      </w:r>
      <w:r w:rsidR="00F96A32" w:rsidRPr="00473C61">
        <w:rPr>
          <w:rFonts w:ascii="Times New Roman" w:hAnsi="Times New Roman"/>
          <w:sz w:val="24"/>
          <w:szCs w:val="24"/>
        </w:rPr>
        <w:t>Controlling for other household characteristics t</w:t>
      </w:r>
      <w:r w:rsidR="00CE0D56" w:rsidRPr="00473C61">
        <w:rPr>
          <w:rFonts w:ascii="Times New Roman" w:hAnsi="Times New Roman"/>
          <w:sz w:val="24"/>
          <w:szCs w:val="24"/>
        </w:rPr>
        <w:t xml:space="preserve">he variable of interest, </w:t>
      </w:r>
      <w:r w:rsidR="00CE0D56" w:rsidRPr="00473C61">
        <w:rPr>
          <w:rFonts w:ascii="Times New Roman" w:hAnsi="Times New Roman"/>
          <w:i/>
          <w:sz w:val="24"/>
          <w:szCs w:val="24"/>
        </w:rPr>
        <w:t>non-white</w:t>
      </w:r>
      <w:r w:rsidR="00CE0D56" w:rsidRPr="00473C61">
        <w:rPr>
          <w:rFonts w:ascii="Times New Roman" w:hAnsi="Times New Roman"/>
          <w:sz w:val="24"/>
          <w:szCs w:val="24"/>
        </w:rPr>
        <w:t xml:space="preserve">, is significant </w:t>
      </w:r>
      <w:r w:rsidR="00F96A32" w:rsidRPr="00473C61">
        <w:rPr>
          <w:rFonts w:ascii="Times New Roman" w:hAnsi="Times New Roman"/>
          <w:sz w:val="24"/>
          <w:szCs w:val="24"/>
        </w:rPr>
        <w:t>with</w:t>
      </w:r>
      <w:r w:rsidR="00CE0D56" w:rsidRPr="00473C61">
        <w:rPr>
          <w:rFonts w:ascii="Times New Roman" w:hAnsi="Times New Roman"/>
          <w:sz w:val="24"/>
          <w:szCs w:val="24"/>
        </w:rPr>
        <w:t xml:space="preserve"> positive </w:t>
      </w:r>
      <w:r w:rsidR="00F96A32" w:rsidRPr="00473C61">
        <w:rPr>
          <w:rFonts w:ascii="Times New Roman" w:hAnsi="Times New Roman"/>
          <w:sz w:val="24"/>
          <w:szCs w:val="24"/>
        </w:rPr>
        <w:t>coefficients in all models</w:t>
      </w:r>
      <w:r w:rsidR="00CE0D56" w:rsidRPr="00473C61">
        <w:rPr>
          <w:rFonts w:ascii="Times New Roman" w:hAnsi="Times New Roman"/>
          <w:sz w:val="24"/>
          <w:szCs w:val="24"/>
        </w:rPr>
        <w:t>.</w:t>
      </w:r>
      <w:r w:rsidR="00F96A32" w:rsidRPr="00473C61">
        <w:rPr>
          <w:rFonts w:ascii="Times New Roman" w:hAnsi="Times New Roman"/>
          <w:sz w:val="24"/>
          <w:szCs w:val="24"/>
        </w:rPr>
        <w:t xml:space="preserve"> </w:t>
      </w:r>
      <w:r w:rsidR="009E7151" w:rsidRPr="00473C61">
        <w:rPr>
          <w:rFonts w:ascii="Times New Roman" w:hAnsi="Times New Roman"/>
          <w:sz w:val="24"/>
          <w:szCs w:val="24"/>
        </w:rPr>
        <w:t xml:space="preserve"> We find </w:t>
      </w:r>
      <w:r w:rsidR="00D75EF4" w:rsidRPr="00473C61">
        <w:rPr>
          <w:rFonts w:ascii="Times New Roman" w:hAnsi="Times New Roman"/>
          <w:sz w:val="24"/>
          <w:szCs w:val="24"/>
        </w:rPr>
        <w:t xml:space="preserve">that </w:t>
      </w:r>
      <w:r w:rsidR="006A2328" w:rsidRPr="00473C61">
        <w:rPr>
          <w:rFonts w:ascii="Times New Roman" w:hAnsi="Times New Roman"/>
          <w:sz w:val="24"/>
          <w:szCs w:val="24"/>
        </w:rPr>
        <w:t xml:space="preserve">non-white households are less likely to </w:t>
      </w:r>
      <w:r w:rsidR="00D75EF4" w:rsidRPr="00473C61">
        <w:rPr>
          <w:rFonts w:ascii="Times New Roman" w:hAnsi="Times New Roman"/>
          <w:sz w:val="24"/>
          <w:szCs w:val="24"/>
        </w:rPr>
        <w:t xml:space="preserve">have </w:t>
      </w:r>
      <w:r w:rsidR="006A2328" w:rsidRPr="00473C61">
        <w:rPr>
          <w:rFonts w:ascii="Times New Roman" w:hAnsi="Times New Roman"/>
          <w:sz w:val="24"/>
          <w:szCs w:val="24"/>
        </w:rPr>
        <w:t xml:space="preserve">one of the sources (or both) of financing when compared to white households. </w:t>
      </w:r>
      <w:r w:rsidR="008939FC" w:rsidRPr="00473C61">
        <w:rPr>
          <w:rFonts w:ascii="Times New Roman" w:hAnsi="Times New Roman"/>
          <w:sz w:val="24"/>
          <w:szCs w:val="24"/>
        </w:rPr>
        <w:t>W</w:t>
      </w:r>
      <w:r w:rsidR="00F169EF" w:rsidRPr="00473C61">
        <w:rPr>
          <w:rFonts w:ascii="Times New Roman" w:hAnsi="Times New Roman"/>
          <w:sz w:val="24"/>
          <w:szCs w:val="24"/>
        </w:rPr>
        <w:t xml:space="preserve">e </w:t>
      </w:r>
      <w:r w:rsidR="008939FC" w:rsidRPr="00473C61">
        <w:rPr>
          <w:rFonts w:ascii="Times New Roman" w:hAnsi="Times New Roman"/>
          <w:sz w:val="24"/>
          <w:szCs w:val="24"/>
        </w:rPr>
        <w:t xml:space="preserve">also </w:t>
      </w:r>
      <w:r w:rsidR="00F169EF" w:rsidRPr="00473C61">
        <w:rPr>
          <w:rFonts w:ascii="Times New Roman" w:hAnsi="Times New Roman"/>
          <w:sz w:val="24"/>
          <w:szCs w:val="24"/>
        </w:rPr>
        <w:t>examine a narrower sample of households that experience a budget deficit</w:t>
      </w:r>
      <w:r w:rsidR="008939FC" w:rsidRPr="00473C61">
        <w:rPr>
          <w:rFonts w:ascii="Times New Roman" w:hAnsi="Times New Roman"/>
          <w:sz w:val="24"/>
          <w:szCs w:val="24"/>
        </w:rPr>
        <w:t xml:space="preserve"> and, therefore, </w:t>
      </w:r>
      <w:r w:rsidR="00F169EF" w:rsidRPr="00473C61">
        <w:rPr>
          <w:rFonts w:ascii="Times New Roman" w:hAnsi="Times New Roman"/>
          <w:sz w:val="24"/>
          <w:szCs w:val="24"/>
        </w:rPr>
        <w:t xml:space="preserve">are more likely to look for financing.  </w:t>
      </w:r>
      <w:r w:rsidR="008939FC" w:rsidRPr="00473C61">
        <w:rPr>
          <w:rFonts w:ascii="Times New Roman" w:hAnsi="Times New Roman"/>
          <w:sz w:val="24"/>
          <w:szCs w:val="24"/>
        </w:rPr>
        <w:t xml:space="preserve">Results, presented in the latter three columns of Table 2, are similar to those above.  </w:t>
      </w:r>
      <w:r w:rsidR="00053653" w:rsidRPr="00473C61">
        <w:rPr>
          <w:rFonts w:ascii="Times New Roman" w:hAnsi="Times New Roman"/>
          <w:sz w:val="24"/>
          <w:szCs w:val="24"/>
        </w:rPr>
        <w:t xml:space="preserve">Overall, the results </w:t>
      </w:r>
      <w:r w:rsidR="00F96A32" w:rsidRPr="00473C61">
        <w:rPr>
          <w:rFonts w:ascii="Times New Roman" w:hAnsi="Times New Roman"/>
          <w:sz w:val="24"/>
          <w:szCs w:val="24"/>
        </w:rPr>
        <w:t xml:space="preserve">show </w:t>
      </w:r>
      <w:r w:rsidR="00803965" w:rsidRPr="00473C61">
        <w:rPr>
          <w:rFonts w:ascii="Times New Roman" w:hAnsi="Times New Roman"/>
          <w:sz w:val="24"/>
          <w:szCs w:val="24"/>
        </w:rPr>
        <w:t>households of non-white origin are less likely to have consumer credit</w:t>
      </w:r>
      <w:r w:rsidR="00473335" w:rsidRPr="00473C61">
        <w:rPr>
          <w:rStyle w:val="Rimandonotaapidipagina"/>
          <w:rFonts w:ascii="Times New Roman" w:hAnsi="Times New Roman"/>
          <w:sz w:val="24"/>
          <w:szCs w:val="24"/>
        </w:rPr>
        <w:footnoteReference w:id="12"/>
      </w:r>
      <w:r w:rsidR="00053653" w:rsidRPr="00473C61">
        <w:rPr>
          <w:rFonts w:ascii="Times New Roman" w:hAnsi="Times New Roman"/>
          <w:sz w:val="24"/>
          <w:szCs w:val="24"/>
        </w:rPr>
        <w:t xml:space="preserve">. </w:t>
      </w:r>
      <w:r w:rsidR="009E7151" w:rsidRPr="00473C61">
        <w:rPr>
          <w:rFonts w:ascii="Times New Roman" w:hAnsi="Times New Roman"/>
          <w:sz w:val="24"/>
          <w:szCs w:val="24"/>
        </w:rPr>
        <w:t xml:space="preserve">  </w:t>
      </w:r>
      <w:r w:rsidR="00044FAB" w:rsidRPr="00473C61">
        <w:rPr>
          <w:rFonts w:ascii="Times New Roman" w:hAnsi="Times New Roman"/>
          <w:sz w:val="24"/>
          <w:szCs w:val="24"/>
        </w:rPr>
        <w:t xml:space="preserve">We </w:t>
      </w:r>
      <w:r w:rsidR="006A2328" w:rsidRPr="00473C61">
        <w:rPr>
          <w:rFonts w:ascii="Times New Roman" w:hAnsi="Times New Roman"/>
          <w:sz w:val="24"/>
          <w:szCs w:val="24"/>
        </w:rPr>
        <w:t>expand our analysis in Section 4</w:t>
      </w:r>
      <w:r w:rsidR="00044FAB" w:rsidRPr="00473C61">
        <w:rPr>
          <w:rFonts w:ascii="Times New Roman" w:hAnsi="Times New Roman"/>
          <w:sz w:val="24"/>
          <w:szCs w:val="24"/>
        </w:rPr>
        <w:t>.2 using the treatment effect</w:t>
      </w:r>
      <w:r w:rsidR="00D75EF4" w:rsidRPr="00473C61">
        <w:rPr>
          <w:rFonts w:ascii="Times New Roman" w:hAnsi="Times New Roman"/>
          <w:sz w:val="24"/>
          <w:szCs w:val="24"/>
        </w:rPr>
        <w:t>s</w:t>
      </w:r>
      <w:r w:rsidR="00044FAB" w:rsidRPr="00473C61">
        <w:rPr>
          <w:rFonts w:ascii="Times New Roman" w:hAnsi="Times New Roman"/>
          <w:sz w:val="24"/>
          <w:szCs w:val="24"/>
        </w:rPr>
        <w:t xml:space="preserve"> model.  </w:t>
      </w:r>
    </w:p>
    <w:p w:rsidR="005B5C87" w:rsidRPr="00473C61" w:rsidRDefault="00044FAB" w:rsidP="001D6D37">
      <w:pPr>
        <w:numPr>
          <w:ilvl w:val="1"/>
          <w:numId w:val="4"/>
        </w:numPr>
        <w:autoSpaceDE w:val="0"/>
        <w:autoSpaceDN w:val="0"/>
        <w:adjustRightInd w:val="0"/>
        <w:spacing w:after="0" w:line="480" w:lineRule="auto"/>
        <w:ind w:left="426" w:hanging="426"/>
        <w:jc w:val="both"/>
        <w:rPr>
          <w:rFonts w:ascii="Times New Roman" w:hAnsi="Times New Roman"/>
          <w:i/>
          <w:sz w:val="24"/>
          <w:szCs w:val="24"/>
        </w:rPr>
      </w:pPr>
      <w:r w:rsidRPr="00473C61">
        <w:rPr>
          <w:rFonts w:ascii="Times New Roman" w:hAnsi="Times New Roman"/>
          <w:i/>
          <w:sz w:val="24"/>
          <w:szCs w:val="24"/>
        </w:rPr>
        <w:lastRenderedPageBreak/>
        <w:t>Treatment effect</w:t>
      </w:r>
      <w:r w:rsidR="00D75EF4" w:rsidRPr="00473C61">
        <w:rPr>
          <w:rFonts w:ascii="Times New Roman" w:hAnsi="Times New Roman"/>
          <w:i/>
          <w:sz w:val="24"/>
          <w:szCs w:val="24"/>
        </w:rPr>
        <w:t>s</w:t>
      </w:r>
      <w:r w:rsidRPr="00473C61">
        <w:rPr>
          <w:rFonts w:ascii="Times New Roman" w:hAnsi="Times New Roman"/>
          <w:i/>
          <w:sz w:val="24"/>
          <w:szCs w:val="24"/>
        </w:rPr>
        <w:t xml:space="preserve"> model</w:t>
      </w:r>
    </w:p>
    <w:p w:rsidR="00ED4490" w:rsidRPr="00473C61" w:rsidRDefault="005B5C87" w:rsidP="001D6D37">
      <w:pPr>
        <w:autoSpaceDE w:val="0"/>
        <w:autoSpaceDN w:val="0"/>
        <w:adjustRightInd w:val="0"/>
        <w:spacing w:after="0" w:line="480" w:lineRule="auto"/>
        <w:jc w:val="both"/>
        <w:rPr>
          <w:rFonts w:ascii="Times New Roman" w:hAnsi="Times New Roman"/>
          <w:sz w:val="24"/>
          <w:szCs w:val="24"/>
        </w:rPr>
      </w:pPr>
      <w:r w:rsidRPr="00473C61">
        <w:rPr>
          <w:rFonts w:ascii="Times New Roman" w:hAnsi="Times New Roman"/>
          <w:sz w:val="24"/>
          <w:szCs w:val="24"/>
        </w:rPr>
        <w:t xml:space="preserve">In Table </w:t>
      </w:r>
      <w:r w:rsidR="00077F3D" w:rsidRPr="00473C61">
        <w:rPr>
          <w:rFonts w:ascii="Times New Roman" w:hAnsi="Times New Roman"/>
          <w:sz w:val="24"/>
          <w:szCs w:val="24"/>
        </w:rPr>
        <w:t>3</w:t>
      </w:r>
      <w:r w:rsidRPr="00473C61">
        <w:rPr>
          <w:rFonts w:ascii="Times New Roman" w:hAnsi="Times New Roman"/>
          <w:sz w:val="24"/>
          <w:szCs w:val="24"/>
        </w:rPr>
        <w:t xml:space="preserve">, we present the results </w:t>
      </w:r>
      <w:r w:rsidR="00077F3D" w:rsidRPr="00473C61">
        <w:rPr>
          <w:rFonts w:ascii="Times New Roman" w:hAnsi="Times New Roman"/>
          <w:sz w:val="24"/>
          <w:szCs w:val="24"/>
        </w:rPr>
        <w:t xml:space="preserve">of the treatment effect model with </w:t>
      </w:r>
      <w:r w:rsidR="00077F3D" w:rsidRPr="00473C61">
        <w:rPr>
          <w:rFonts w:ascii="Times New Roman" w:hAnsi="Times New Roman"/>
          <w:i/>
          <w:sz w:val="24"/>
          <w:szCs w:val="24"/>
        </w:rPr>
        <w:t>income gap</w:t>
      </w:r>
      <w:r w:rsidR="00077F3D" w:rsidRPr="00473C61">
        <w:rPr>
          <w:rFonts w:ascii="Times New Roman" w:hAnsi="Times New Roman"/>
          <w:sz w:val="24"/>
          <w:szCs w:val="24"/>
        </w:rPr>
        <w:t xml:space="preserve"> used as the treatment </w:t>
      </w:r>
      <w:r w:rsidR="00547FE5" w:rsidRPr="00473C61">
        <w:rPr>
          <w:rFonts w:ascii="Times New Roman" w:hAnsi="Times New Roman"/>
          <w:sz w:val="24"/>
          <w:szCs w:val="24"/>
        </w:rPr>
        <w:t>condition</w:t>
      </w:r>
      <w:r w:rsidR="00077F3D" w:rsidRPr="00473C61">
        <w:rPr>
          <w:rFonts w:ascii="Times New Roman" w:hAnsi="Times New Roman"/>
          <w:sz w:val="24"/>
          <w:szCs w:val="24"/>
        </w:rPr>
        <w:t xml:space="preserve">.  </w:t>
      </w:r>
      <w:r w:rsidRPr="00473C61">
        <w:rPr>
          <w:rFonts w:ascii="Times New Roman" w:hAnsi="Times New Roman"/>
          <w:sz w:val="24"/>
          <w:szCs w:val="24"/>
        </w:rPr>
        <w:t xml:space="preserve">Here we </w:t>
      </w:r>
      <w:r w:rsidR="00077F3D" w:rsidRPr="00473C61">
        <w:rPr>
          <w:rFonts w:ascii="Times New Roman" w:hAnsi="Times New Roman"/>
          <w:sz w:val="24"/>
          <w:szCs w:val="24"/>
        </w:rPr>
        <w:t xml:space="preserve">aim to establish </w:t>
      </w:r>
      <w:r w:rsidR="00803965" w:rsidRPr="00473C61">
        <w:rPr>
          <w:rFonts w:ascii="Times New Roman" w:hAnsi="Times New Roman"/>
          <w:sz w:val="24"/>
          <w:szCs w:val="24"/>
        </w:rPr>
        <w:t>a stronger</w:t>
      </w:r>
      <w:r w:rsidR="00077F3D" w:rsidRPr="00473C61">
        <w:rPr>
          <w:rFonts w:ascii="Times New Roman" w:hAnsi="Times New Roman"/>
          <w:sz w:val="24"/>
          <w:szCs w:val="24"/>
        </w:rPr>
        <w:t xml:space="preserve"> link between the need f</w:t>
      </w:r>
      <w:r w:rsidR="00BE6121" w:rsidRPr="00473C61">
        <w:rPr>
          <w:rFonts w:ascii="Times New Roman" w:hAnsi="Times New Roman"/>
          <w:sz w:val="24"/>
          <w:szCs w:val="24"/>
        </w:rPr>
        <w:t>or</w:t>
      </w:r>
      <w:r w:rsidR="00077F3D" w:rsidRPr="00473C61">
        <w:rPr>
          <w:rFonts w:ascii="Times New Roman" w:hAnsi="Times New Roman"/>
          <w:sz w:val="24"/>
          <w:szCs w:val="24"/>
        </w:rPr>
        <w:t xml:space="preserve"> financing and</w:t>
      </w:r>
      <w:r w:rsidR="00803965" w:rsidRPr="00473C61">
        <w:rPr>
          <w:rFonts w:ascii="Times New Roman" w:hAnsi="Times New Roman"/>
          <w:sz w:val="24"/>
          <w:szCs w:val="24"/>
        </w:rPr>
        <w:t xml:space="preserve"> the possibility of not having it.  </w:t>
      </w:r>
      <w:r w:rsidR="00077F3D" w:rsidRPr="00473C61">
        <w:rPr>
          <w:rFonts w:ascii="Times New Roman" w:hAnsi="Times New Roman"/>
          <w:sz w:val="24"/>
          <w:szCs w:val="24"/>
        </w:rPr>
        <w:t xml:space="preserve">We find that </w:t>
      </w:r>
      <w:r w:rsidR="00C662B2" w:rsidRPr="00473C61">
        <w:rPr>
          <w:rFonts w:ascii="Times New Roman" w:hAnsi="Times New Roman"/>
          <w:sz w:val="24"/>
          <w:szCs w:val="24"/>
        </w:rPr>
        <w:t xml:space="preserve">the </w:t>
      </w:r>
      <w:r w:rsidR="00077F3D" w:rsidRPr="00473C61">
        <w:rPr>
          <w:rFonts w:ascii="Times New Roman" w:hAnsi="Times New Roman"/>
          <w:sz w:val="24"/>
          <w:szCs w:val="24"/>
        </w:rPr>
        <w:t xml:space="preserve">coefficient and significance of the variable </w:t>
      </w:r>
      <w:r w:rsidR="00077F3D" w:rsidRPr="00473C61">
        <w:rPr>
          <w:rFonts w:ascii="Times New Roman" w:hAnsi="Times New Roman"/>
          <w:i/>
          <w:sz w:val="24"/>
          <w:szCs w:val="24"/>
        </w:rPr>
        <w:t>non-white</w:t>
      </w:r>
      <w:r w:rsidR="00077F3D" w:rsidRPr="00473C61">
        <w:rPr>
          <w:rFonts w:ascii="Times New Roman" w:hAnsi="Times New Roman"/>
          <w:sz w:val="24"/>
          <w:szCs w:val="24"/>
        </w:rPr>
        <w:t xml:space="preserve"> does not change.  Hence, we still observe th</w:t>
      </w:r>
      <w:r w:rsidR="00803965" w:rsidRPr="00473C61">
        <w:rPr>
          <w:rFonts w:ascii="Times New Roman" w:hAnsi="Times New Roman"/>
          <w:sz w:val="24"/>
          <w:szCs w:val="24"/>
        </w:rPr>
        <w:t>at non-white households are less</w:t>
      </w:r>
      <w:r w:rsidR="00077F3D" w:rsidRPr="00473C61">
        <w:rPr>
          <w:rFonts w:ascii="Times New Roman" w:hAnsi="Times New Roman"/>
          <w:sz w:val="24"/>
          <w:szCs w:val="24"/>
        </w:rPr>
        <w:t xml:space="preserve"> likely to </w:t>
      </w:r>
      <w:r w:rsidR="00803965" w:rsidRPr="00473C61">
        <w:rPr>
          <w:rFonts w:ascii="Times New Roman" w:hAnsi="Times New Roman"/>
          <w:sz w:val="24"/>
          <w:szCs w:val="24"/>
        </w:rPr>
        <w:t xml:space="preserve">have consumer </w:t>
      </w:r>
      <w:r w:rsidR="00077F3D" w:rsidRPr="00473C61">
        <w:rPr>
          <w:rFonts w:ascii="Times New Roman" w:hAnsi="Times New Roman"/>
          <w:sz w:val="24"/>
          <w:szCs w:val="24"/>
        </w:rPr>
        <w:t xml:space="preserve">credit.  We observe a negative and significant relationship between </w:t>
      </w:r>
      <w:r w:rsidR="00077F3D" w:rsidRPr="00473C61">
        <w:rPr>
          <w:rFonts w:ascii="Times New Roman" w:hAnsi="Times New Roman"/>
          <w:i/>
          <w:sz w:val="24"/>
          <w:szCs w:val="24"/>
        </w:rPr>
        <w:t>income gap</w:t>
      </w:r>
      <w:r w:rsidR="00077F3D" w:rsidRPr="00473C61">
        <w:rPr>
          <w:rFonts w:ascii="Times New Roman" w:hAnsi="Times New Roman"/>
          <w:sz w:val="24"/>
          <w:szCs w:val="24"/>
        </w:rPr>
        <w:t xml:space="preserve"> and the dependent variables in all models. </w:t>
      </w:r>
      <w:r w:rsidR="00ED4490" w:rsidRPr="00473C61">
        <w:rPr>
          <w:rFonts w:ascii="Times New Roman" w:hAnsi="Times New Roman"/>
          <w:sz w:val="24"/>
          <w:szCs w:val="24"/>
        </w:rPr>
        <w:t xml:space="preserve"> </w:t>
      </w:r>
      <w:r w:rsidR="00AD3751" w:rsidRPr="00473C61">
        <w:rPr>
          <w:rFonts w:ascii="Times New Roman" w:hAnsi="Times New Roman"/>
          <w:sz w:val="24"/>
          <w:szCs w:val="24"/>
        </w:rPr>
        <w:t>The finding is not surprising as it is r</w:t>
      </w:r>
      <w:r w:rsidR="00C662B2" w:rsidRPr="00473C61">
        <w:rPr>
          <w:rFonts w:ascii="Times New Roman" w:hAnsi="Times New Roman"/>
          <w:sz w:val="24"/>
          <w:szCs w:val="24"/>
        </w:rPr>
        <w:t xml:space="preserve">easonable to </w:t>
      </w:r>
      <w:r w:rsidR="00D816F6" w:rsidRPr="00473C61">
        <w:rPr>
          <w:rFonts w:ascii="Times New Roman" w:hAnsi="Times New Roman"/>
          <w:sz w:val="24"/>
          <w:szCs w:val="24"/>
        </w:rPr>
        <w:t>expect that</w:t>
      </w:r>
      <w:r w:rsidR="00AD3751" w:rsidRPr="00473C61">
        <w:rPr>
          <w:rFonts w:ascii="Times New Roman" w:hAnsi="Times New Roman"/>
          <w:sz w:val="24"/>
          <w:szCs w:val="24"/>
        </w:rPr>
        <w:t xml:space="preserve"> households are more likely </w:t>
      </w:r>
      <w:r w:rsidR="00D816F6" w:rsidRPr="00473C61">
        <w:rPr>
          <w:rFonts w:ascii="Times New Roman" w:hAnsi="Times New Roman"/>
          <w:sz w:val="24"/>
          <w:szCs w:val="24"/>
        </w:rPr>
        <w:t>to use</w:t>
      </w:r>
      <w:r w:rsidR="00AD3751" w:rsidRPr="00473C61">
        <w:rPr>
          <w:rFonts w:ascii="Times New Roman" w:hAnsi="Times New Roman"/>
          <w:sz w:val="24"/>
          <w:szCs w:val="24"/>
        </w:rPr>
        <w:t xml:space="preserve"> consumer finance if they </w:t>
      </w:r>
      <w:r w:rsidR="00D816F6" w:rsidRPr="00473C61">
        <w:rPr>
          <w:rFonts w:ascii="Times New Roman" w:hAnsi="Times New Roman"/>
          <w:sz w:val="24"/>
          <w:szCs w:val="24"/>
        </w:rPr>
        <w:t>face budget constraints</w:t>
      </w:r>
      <w:r w:rsidR="00AD3751" w:rsidRPr="00473C61">
        <w:rPr>
          <w:rFonts w:ascii="Times New Roman" w:hAnsi="Times New Roman"/>
          <w:sz w:val="24"/>
          <w:szCs w:val="24"/>
        </w:rPr>
        <w:t>.</w:t>
      </w:r>
      <w:r w:rsidR="00524330" w:rsidRPr="00473C61">
        <w:rPr>
          <w:rFonts w:ascii="Times New Roman" w:hAnsi="Times New Roman"/>
          <w:sz w:val="24"/>
          <w:szCs w:val="24"/>
        </w:rPr>
        <w:t xml:space="preserve">  </w:t>
      </w:r>
      <w:r w:rsidR="00ED4490" w:rsidRPr="00473C61">
        <w:rPr>
          <w:rFonts w:ascii="Times New Roman" w:hAnsi="Times New Roman"/>
          <w:sz w:val="24"/>
          <w:szCs w:val="24"/>
        </w:rPr>
        <w:t xml:space="preserve">We also observe that IMR </w:t>
      </w:r>
      <w:r w:rsidR="00DF6A3E" w:rsidRPr="00473C61">
        <w:rPr>
          <w:rFonts w:ascii="Times New Roman" w:hAnsi="Times New Roman"/>
          <w:sz w:val="24"/>
          <w:szCs w:val="24"/>
        </w:rPr>
        <w:t xml:space="preserve">is significant, </w:t>
      </w:r>
      <w:r w:rsidR="00ED4490" w:rsidRPr="00473C61">
        <w:rPr>
          <w:rFonts w:ascii="Times New Roman" w:hAnsi="Times New Roman"/>
          <w:sz w:val="24"/>
          <w:szCs w:val="24"/>
        </w:rPr>
        <w:t>indica</w:t>
      </w:r>
      <w:r w:rsidR="006A2328" w:rsidRPr="00473C61">
        <w:rPr>
          <w:rFonts w:ascii="Times New Roman" w:hAnsi="Times New Roman"/>
          <w:sz w:val="24"/>
          <w:szCs w:val="24"/>
        </w:rPr>
        <w:t xml:space="preserve">ting </w:t>
      </w:r>
      <w:r w:rsidR="00260891" w:rsidRPr="00473C61">
        <w:rPr>
          <w:rFonts w:ascii="Times New Roman" w:hAnsi="Times New Roman"/>
          <w:sz w:val="24"/>
          <w:szCs w:val="24"/>
        </w:rPr>
        <w:t xml:space="preserve">the </w:t>
      </w:r>
      <w:r w:rsidR="00DF6A3E" w:rsidRPr="00473C61">
        <w:rPr>
          <w:rFonts w:ascii="Times New Roman" w:hAnsi="Times New Roman"/>
          <w:sz w:val="24"/>
          <w:szCs w:val="24"/>
        </w:rPr>
        <w:t xml:space="preserve">presence </w:t>
      </w:r>
      <w:r w:rsidR="00ED4490" w:rsidRPr="00473C61">
        <w:rPr>
          <w:rFonts w:ascii="Times New Roman" w:hAnsi="Times New Roman"/>
          <w:sz w:val="24"/>
          <w:szCs w:val="24"/>
        </w:rPr>
        <w:t xml:space="preserve">of selection bias.  In any case, </w:t>
      </w:r>
      <w:r w:rsidRPr="00473C61">
        <w:rPr>
          <w:rFonts w:ascii="Times New Roman" w:hAnsi="Times New Roman"/>
          <w:sz w:val="24"/>
          <w:szCs w:val="24"/>
        </w:rPr>
        <w:t xml:space="preserve">the main </w:t>
      </w:r>
      <w:r w:rsidR="004B1485" w:rsidRPr="00473C61">
        <w:rPr>
          <w:rFonts w:ascii="Times New Roman" w:hAnsi="Times New Roman"/>
          <w:sz w:val="24"/>
          <w:szCs w:val="24"/>
        </w:rPr>
        <w:t>results outlined</w:t>
      </w:r>
      <w:r w:rsidRPr="00473C61">
        <w:rPr>
          <w:rFonts w:ascii="Times New Roman" w:hAnsi="Times New Roman"/>
          <w:sz w:val="24"/>
          <w:szCs w:val="24"/>
        </w:rPr>
        <w:t xml:space="preserve"> above </w:t>
      </w:r>
      <w:r w:rsidR="00ED4490" w:rsidRPr="00473C61">
        <w:rPr>
          <w:rFonts w:ascii="Times New Roman" w:hAnsi="Times New Roman"/>
          <w:sz w:val="24"/>
          <w:szCs w:val="24"/>
        </w:rPr>
        <w:t>on other household</w:t>
      </w:r>
      <w:r w:rsidR="00C662B2" w:rsidRPr="00473C61">
        <w:rPr>
          <w:rFonts w:ascii="Times New Roman" w:hAnsi="Times New Roman"/>
          <w:sz w:val="24"/>
          <w:szCs w:val="24"/>
        </w:rPr>
        <w:t>’</w:t>
      </w:r>
      <w:r w:rsidR="00ED4490" w:rsidRPr="00473C61">
        <w:rPr>
          <w:rFonts w:ascii="Times New Roman" w:hAnsi="Times New Roman"/>
          <w:sz w:val="24"/>
          <w:szCs w:val="24"/>
        </w:rPr>
        <w:t xml:space="preserve">s characteristics impact on financing </w:t>
      </w:r>
      <w:r w:rsidRPr="00473C61">
        <w:rPr>
          <w:rFonts w:ascii="Times New Roman" w:hAnsi="Times New Roman"/>
          <w:sz w:val="24"/>
          <w:szCs w:val="24"/>
        </w:rPr>
        <w:t>still hold</w:t>
      </w:r>
      <w:r w:rsidR="007915E5" w:rsidRPr="00473C61">
        <w:rPr>
          <w:rStyle w:val="Rimandonotaapidipagina"/>
          <w:rFonts w:ascii="Times New Roman" w:hAnsi="Times New Roman"/>
          <w:sz w:val="24"/>
          <w:szCs w:val="24"/>
        </w:rPr>
        <w:footnoteReference w:id="13"/>
      </w:r>
      <w:r w:rsidRPr="00473C61">
        <w:rPr>
          <w:rFonts w:ascii="Times New Roman" w:hAnsi="Times New Roman"/>
          <w:sz w:val="24"/>
          <w:szCs w:val="24"/>
        </w:rPr>
        <w:t xml:space="preserve">.  </w:t>
      </w:r>
    </w:p>
    <w:p w:rsidR="00665222" w:rsidRPr="00473C61" w:rsidRDefault="00665222" w:rsidP="001D6D37">
      <w:pPr>
        <w:autoSpaceDE w:val="0"/>
        <w:autoSpaceDN w:val="0"/>
        <w:adjustRightInd w:val="0"/>
        <w:spacing w:after="0" w:line="480" w:lineRule="auto"/>
        <w:jc w:val="both"/>
        <w:rPr>
          <w:rFonts w:ascii="Times New Roman" w:hAnsi="Times New Roman"/>
          <w:sz w:val="24"/>
          <w:szCs w:val="24"/>
        </w:rPr>
      </w:pPr>
    </w:p>
    <w:p w:rsidR="00C07FE5" w:rsidRPr="00473C61" w:rsidRDefault="00297FCA" w:rsidP="00C07FE5">
      <w:pPr>
        <w:numPr>
          <w:ilvl w:val="1"/>
          <w:numId w:val="4"/>
        </w:numPr>
        <w:autoSpaceDE w:val="0"/>
        <w:autoSpaceDN w:val="0"/>
        <w:adjustRightInd w:val="0"/>
        <w:spacing w:after="0" w:line="480" w:lineRule="auto"/>
        <w:ind w:left="426" w:hanging="426"/>
        <w:jc w:val="both"/>
        <w:rPr>
          <w:rFonts w:ascii="Times New Roman" w:hAnsi="Times New Roman"/>
          <w:i/>
          <w:sz w:val="24"/>
          <w:szCs w:val="24"/>
        </w:rPr>
      </w:pPr>
      <w:r w:rsidRPr="00473C61">
        <w:rPr>
          <w:rFonts w:ascii="Times New Roman" w:hAnsi="Times New Roman"/>
          <w:i/>
          <w:sz w:val="24"/>
          <w:szCs w:val="24"/>
        </w:rPr>
        <w:t xml:space="preserve">Results from </w:t>
      </w:r>
      <w:r w:rsidR="001424F6" w:rsidRPr="00473C61">
        <w:rPr>
          <w:rFonts w:ascii="Times New Roman" w:hAnsi="Times New Roman"/>
          <w:i/>
          <w:sz w:val="24"/>
          <w:szCs w:val="24"/>
        </w:rPr>
        <w:t>sub</w:t>
      </w:r>
      <w:r w:rsidR="001D751F" w:rsidRPr="00473C61">
        <w:rPr>
          <w:rFonts w:ascii="Times New Roman" w:hAnsi="Times New Roman"/>
          <w:i/>
          <w:sz w:val="24"/>
          <w:szCs w:val="24"/>
        </w:rPr>
        <w:t>-</w:t>
      </w:r>
      <w:r w:rsidR="001424F6" w:rsidRPr="00473C61">
        <w:rPr>
          <w:rFonts w:ascii="Times New Roman" w:hAnsi="Times New Roman"/>
          <w:i/>
          <w:sz w:val="24"/>
          <w:szCs w:val="24"/>
        </w:rPr>
        <w:t xml:space="preserve">groups </w:t>
      </w:r>
    </w:p>
    <w:p w:rsidR="00055D61" w:rsidRPr="00473C61" w:rsidRDefault="00C07FE5" w:rsidP="001D6D37">
      <w:pPr>
        <w:autoSpaceDE w:val="0"/>
        <w:autoSpaceDN w:val="0"/>
        <w:adjustRightInd w:val="0"/>
        <w:spacing w:after="0" w:line="480" w:lineRule="auto"/>
        <w:jc w:val="both"/>
        <w:rPr>
          <w:rFonts w:ascii="Times New Roman" w:hAnsi="Times New Roman"/>
          <w:sz w:val="24"/>
          <w:szCs w:val="24"/>
        </w:rPr>
      </w:pPr>
      <w:r w:rsidRPr="00473C61">
        <w:rPr>
          <w:rFonts w:ascii="Times New Roman" w:hAnsi="Times New Roman"/>
          <w:sz w:val="24"/>
          <w:szCs w:val="24"/>
        </w:rPr>
        <w:t>Here we examine the sample further by comparing sub</w:t>
      </w:r>
      <w:r w:rsidR="00C662B2" w:rsidRPr="00473C61">
        <w:rPr>
          <w:rFonts w:ascii="Times New Roman" w:hAnsi="Times New Roman"/>
          <w:sz w:val="24"/>
          <w:szCs w:val="24"/>
        </w:rPr>
        <w:t>-</w:t>
      </w:r>
      <w:r w:rsidRPr="00473C61">
        <w:rPr>
          <w:rFonts w:ascii="Times New Roman" w:hAnsi="Times New Roman"/>
          <w:sz w:val="24"/>
          <w:szCs w:val="24"/>
        </w:rPr>
        <w:t>group</w:t>
      </w:r>
      <w:r w:rsidR="00C662B2" w:rsidRPr="00473C61">
        <w:rPr>
          <w:rFonts w:ascii="Times New Roman" w:hAnsi="Times New Roman"/>
          <w:sz w:val="24"/>
          <w:szCs w:val="24"/>
        </w:rPr>
        <w:t xml:space="preserve"> of households where </w:t>
      </w:r>
      <w:r w:rsidR="00431114" w:rsidRPr="00473C61">
        <w:rPr>
          <w:rFonts w:ascii="Times New Roman" w:hAnsi="Times New Roman"/>
          <w:sz w:val="24"/>
          <w:szCs w:val="24"/>
        </w:rPr>
        <w:t>we</w:t>
      </w:r>
      <w:r w:rsidR="0050091E" w:rsidRPr="00473C61">
        <w:rPr>
          <w:rFonts w:ascii="Times New Roman" w:hAnsi="Times New Roman"/>
          <w:sz w:val="24"/>
          <w:szCs w:val="24"/>
        </w:rPr>
        <w:t xml:space="preserve"> are interested to see </w:t>
      </w:r>
      <w:r w:rsidR="00DA1F11" w:rsidRPr="00473C61">
        <w:rPr>
          <w:rFonts w:ascii="Times New Roman" w:hAnsi="Times New Roman"/>
          <w:sz w:val="24"/>
          <w:szCs w:val="24"/>
        </w:rPr>
        <w:t>whether</w:t>
      </w:r>
      <w:r w:rsidR="003A3ED3" w:rsidRPr="00473C61">
        <w:rPr>
          <w:rFonts w:ascii="Times New Roman" w:hAnsi="Times New Roman"/>
          <w:sz w:val="24"/>
          <w:szCs w:val="24"/>
        </w:rPr>
        <w:t xml:space="preserve"> not </w:t>
      </w:r>
      <w:r w:rsidR="00A575DF" w:rsidRPr="00473C61">
        <w:rPr>
          <w:rFonts w:ascii="Times New Roman" w:hAnsi="Times New Roman"/>
          <w:sz w:val="24"/>
          <w:szCs w:val="24"/>
        </w:rPr>
        <w:t>h</w:t>
      </w:r>
      <w:r w:rsidR="003A3ED3" w:rsidRPr="00473C61">
        <w:rPr>
          <w:rFonts w:ascii="Times New Roman" w:hAnsi="Times New Roman"/>
          <w:sz w:val="24"/>
          <w:szCs w:val="24"/>
        </w:rPr>
        <w:t>aving financing i</w:t>
      </w:r>
      <w:r w:rsidR="0050091E" w:rsidRPr="00473C61">
        <w:rPr>
          <w:rFonts w:ascii="Times New Roman" w:hAnsi="Times New Roman"/>
          <w:sz w:val="24"/>
          <w:szCs w:val="24"/>
        </w:rPr>
        <w:t>s prevalent in sub</w:t>
      </w:r>
      <w:r w:rsidR="004A6613" w:rsidRPr="00473C61">
        <w:rPr>
          <w:rFonts w:ascii="Times New Roman" w:hAnsi="Times New Roman"/>
          <w:sz w:val="24"/>
          <w:szCs w:val="24"/>
        </w:rPr>
        <w:t>-</w:t>
      </w:r>
      <w:r w:rsidR="0096044F" w:rsidRPr="00473C61">
        <w:rPr>
          <w:rFonts w:ascii="Times New Roman" w:hAnsi="Times New Roman"/>
          <w:sz w:val="24"/>
          <w:szCs w:val="24"/>
        </w:rPr>
        <w:t>groups that have similar income</w:t>
      </w:r>
      <w:r w:rsidR="004A6613" w:rsidRPr="00473C61">
        <w:rPr>
          <w:rFonts w:ascii="Times New Roman" w:hAnsi="Times New Roman"/>
          <w:sz w:val="24"/>
          <w:szCs w:val="24"/>
        </w:rPr>
        <w:t xml:space="preserve"> levels</w:t>
      </w:r>
      <w:r w:rsidR="00297FCA" w:rsidRPr="00473C61">
        <w:rPr>
          <w:rFonts w:ascii="Times New Roman" w:hAnsi="Times New Roman"/>
          <w:sz w:val="24"/>
          <w:szCs w:val="24"/>
        </w:rPr>
        <w:t>,</w:t>
      </w:r>
      <w:r w:rsidR="0096044F" w:rsidRPr="00473C61">
        <w:rPr>
          <w:rFonts w:ascii="Times New Roman" w:hAnsi="Times New Roman"/>
          <w:sz w:val="24"/>
          <w:szCs w:val="24"/>
        </w:rPr>
        <w:t xml:space="preserve"> </w:t>
      </w:r>
      <w:r w:rsidR="0050091E" w:rsidRPr="00473C61">
        <w:rPr>
          <w:rFonts w:ascii="Times New Roman" w:hAnsi="Times New Roman"/>
          <w:sz w:val="24"/>
          <w:szCs w:val="24"/>
        </w:rPr>
        <w:t>employment</w:t>
      </w:r>
      <w:r w:rsidR="004A6613" w:rsidRPr="00473C61">
        <w:rPr>
          <w:rFonts w:ascii="Times New Roman" w:hAnsi="Times New Roman"/>
          <w:sz w:val="24"/>
          <w:szCs w:val="24"/>
        </w:rPr>
        <w:t xml:space="preserve"> status</w:t>
      </w:r>
      <w:r w:rsidR="001A3BEC" w:rsidRPr="00473C61">
        <w:rPr>
          <w:rFonts w:ascii="Times New Roman" w:hAnsi="Times New Roman"/>
          <w:sz w:val="24"/>
          <w:szCs w:val="24"/>
        </w:rPr>
        <w:t xml:space="preserve"> and home</w:t>
      </w:r>
      <w:r w:rsidR="00297FCA" w:rsidRPr="00473C61">
        <w:rPr>
          <w:rFonts w:ascii="Times New Roman" w:hAnsi="Times New Roman"/>
          <w:sz w:val="24"/>
          <w:szCs w:val="24"/>
        </w:rPr>
        <w:t xml:space="preserve"> ownership</w:t>
      </w:r>
      <w:r w:rsidR="00E97444" w:rsidRPr="00473C61">
        <w:rPr>
          <w:rStyle w:val="Rimandonotaapidipagina"/>
          <w:rFonts w:ascii="Times New Roman" w:hAnsi="Times New Roman"/>
          <w:sz w:val="24"/>
          <w:szCs w:val="24"/>
        </w:rPr>
        <w:footnoteReference w:id="14"/>
      </w:r>
      <w:r w:rsidR="0050091E" w:rsidRPr="00473C61">
        <w:rPr>
          <w:rFonts w:ascii="Times New Roman" w:hAnsi="Times New Roman"/>
          <w:sz w:val="24"/>
          <w:szCs w:val="24"/>
        </w:rPr>
        <w:t xml:space="preserve">. </w:t>
      </w:r>
      <w:r w:rsidR="00A575DF" w:rsidRPr="00473C61">
        <w:rPr>
          <w:rFonts w:ascii="Times New Roman" w:hAnsi="Times New Roman"/>
          <w:sz w:val="24"/>
          <w:szCs w:val="24"/>
        </w:rPr>
        <w:t xml:space="preserve"> In Table 4 we present </w:t>
      </w:r>
      <w:r w:rsidR="003A3ED3" w:rsidRPr="00473C61">
        <w:rPr>
          <w:rFonts w:ascii="Times New Roman" w:hAnsi="Times New Roman"/>
          <w:sz w:val="24"/>
          <w:szCs w:val="24"/>
        </w:rPr>
        <w:t>selected results</w:t>
      </w:r>
      <w:r w:rsidR="00A575DF" w:rsidRPr="00473C61">
        <w:rPr>
          <w:rFonts w:ascii="Times New Roman" w:hAnsi="Times New Roman"/>
          <w:sz w:val="24"/>
          <w:szCs w:val="24"/>
        </w:rPr>
        <w:t xml:space="preserve"> </w:t>
      </w:r>
      <w:r w:rsidR="00AF529F" w:rsidRPr="00473C61">
        <w:rPr>
          <w:rFonts w:ascii="Times New Roman" w:hAnsi="Times New Roman"/>
          <w:sz w:val="24"/>
          <w:szCs w:val="24"/>
        </w:rPr>
        <w:t xml:space="preserve">only </w:t>
      </w:r>
      <w:r w:rsidR="00A575DF" w:rsidRPr="00473C61">
        <w:rPr>
          <w:rFonts w:ascii="Times New Roman" w:hAnsi="Times New Roman"/>
          <w:sz w:val="24"/>
          <w:szCs w:val="24"/>
        </w:rPr>
        <w:t>fo</w:t>
      </w:r>
      <w:r w:rsidR="00AF529F" w:rsidRPr="00473C61">
        <w:rPr>
          <w:rFonts w:ascii="Times New Roman" w:hAnsi="Times New Roman"/>
          <w:sz w:val="24"/>
          <w:szCs w:val="24"/>
        </w:rPr>
        <w:t>r the main variable of interest –</w:t>
      </w:r>
      <w:r w:rsidR="00A575DF" w:rsidRPr="00473C61">
        <w:rPr>
          <w:rFonts w:ascii="Times New Roman" w:hAnsi="Times New Roman"/>
          <w:sz w:val="24"/>
          <w:szCs w:val="24"/>
        </w:rPr>
        <w:t xml:space="preserve"> </w:t>
      </w:r>
      <w:r w:rsidR="00A575DF" w:rsidRPr="00473C61">
        <w:rPr>
          <w:rFonts w:ascii="Times New Roman" w:hAnsi="Times New Roman"/>
          <w:i/>
          <w:sz w:val="24"/>
          <w:szCs w:val="24"/>
        </w:rPr>
        <w:t>non-white</w:t>
      </w:r>
      <w:r w:rsidR="001A3BEC" w:rsidRPr="00473C61">
        <w:rPr>
          <w:rFonts w:ascii="Times New Roman" w:hAnsi="Times New Roman"/>
          <w:sz w:val="24"/>
          <w:szCs w:val="24"/>
        </w:rPr>
        <w:t>.</w:t>
      </w:r>
      <w:r w:rsidR="00A575DF" w:rsidRPr="00473C61">
        <w:rPr>
          <w:rFonts w:ascii="Times New Roman" w:hAnsi="Times New Roman"/>
          <w:sz w:val="24"/>
          <w:szCs w:val="24"/>
        </w:rPr>
        <w:t xml:space="preserve">  </w:t>
      </w:r>
      <w:r w:rsidR="0050091E" w:rsidRPr="00473C61">
        <w:rPr>
          <w:rFonts w:ascii="Times New Roman" w:hAnsi="Times New Roman"/>
          <w:sz w:val="24"/>
          <w:szCs w:val="24"/>
        </w:rPr>
        <w:t xml:space="preserve">Firstly we divide </w:t>
      </w:r>
      <w:r w:rsidR="004A6613" w:rsidRPr="00473C61">
        <w:rPr>
          <w:rFonts w:ascii="Times New Roman" w:hAnsi="Times New Roman"/>
          <w:sz w:val="24"/>
          <w:szCs w:val="24"/>
        </w:rPr>
        <w:t xml:space="preserve">the sample into two by level of </w:t>
      </w:r>
      <w:r w:rsidR="0050091E" w:rsidRPr="00473C61">
        <w:rPr>
          <w:rFonts w:ascii="Times New Roman" w:hAnsi="Times New Roman"/>
          <w:sz w:val="24"/>
          <w:szCs w:val="24"/>
        </w:rPr>
        <w:t xml:space="preserve">income and </w:t>
      </w:r>
      <w:r w:rsidR="00C662B2" w:rsidRPr="00473C61">
        <w:rPr>
          <w:rFonts w:ascii="Times New Roman" w:hAnsi="Times New Roman"/>
          <w:sz w:val="24"/>
          <w:szCs w:val="24"/>
        </w:rPr>
        <w:t xml:space="preserve">estimate </w:t>
      </w:r>
      <w:r w:rsidR="0050091E" w:rsidRPr="00473C61">
        <w:rPr>
          <w:rFonts w:ascii="Times New Roman" w:hAnsi="Times New Roman"/>
          <w:sz w:val="24"/>
          <w:szCs w:val="24"/>
        </w:rPr>
        <w:t xml:space="preserve">the models for two subgroups above and </w:t>
      </w:r>
      <w:r w:rsidR="00DA1F11" w:rsidRPr="00473C61">
        <w:rPr>
          <w:rFonts w:ascii="Times New Roman" w:hAnsi="Times New Roman"/>
          <w:sz w:val="24"/>
          <w:szCs w:val="24"/>
        </w:rPr>
        <w:t>below median</w:t>
      </w:r>
      <w:r w:rsidR="0050091E" w:rsidRPr="00473C61">
        <w:rPr>
          <w:rFonts w:ascii="Times New Roman" w:hAnsi="Times New Roman"/>
          <w:sz w:val="24"/>
          <w:szCs w:val="24"/>
        </w:rPr>
        <w:t xml:space="preserve"> income.  </w:t>
      </w:r>
      <w:r w:rsidR="003A3ED3" w:rsidRPr="00473C61">
        <w:rPr>
          <w:rFonts w:ascii="Times New Roman" w:hAnsi="Times New Roman"/>
          <w:sz w:val="24"/>
          <w:szCs w:val="24"/>
        </w:rPr>
        <w:t xml:space="preserve">We </w:t>
      </w:r>
      <w:r w:rsidR="009816E5" w:rsidRPr="00473C61">
        <w:rPr>
          <w:rFonts w:ascii="Times New Roman" w:hAnsi="Times New Roman"/>
          <w:sz w:val="24"/>
          <w:szCs w:val="24"/>
        </w:rPr>
        <w:t xml:space="preserve">find that </w:t>
      </w:r>
      <w:r w:rsidR="000F2CBB" w:rsidRPr="00473C61">
        <w:rPr>
          <w:rFonts w:ascii="Times New Roman" w:hAnsi="Times New Roman"/>
          <w:sz w:val="24"/>
          <w:szCs w:val="24"/>
        </w:rPr>
        <w:t>t</w:t>
      </w:r>
      <w:r w:rsidR="00C662B2" w:rsidRPr="00473C61">
        <w:rPr>
          <w:rFonts w:ascii="Times New Roman" w:hAnsi="Times New Roman"/>
          <w:sz w:val="24"/>
          <w:szCs w:val="24"/>
        </w:rPr>
        <w:t xml:space="preserve">he </w:t>
      </w:r>
      <w:r w:rsidR="009816E5" w:rsidRPr="00473C61">
        <w:rPr>
          <w:rFonts w:ascii="Times New Roman" w:hAnsi="Times New Roman"/>
          <w:sz w:val="24"/>
          <w:szCs w:val="24"/>
        </w:rPr>
        <w:t xml:space="preserve">coefficient </w:t>
      </w:r>
      <w:r w:rsidR="00C662B2" w:rsidRPr="00473C61">
        <w:rPr>
          <w:rFonts w:ascii="Times New Roman" w:hAnsi="Times New Roman"/>
          <w:sz w:val="24"/>
          <w:szCs w:val="24"/>
        </w:rPr>
        <w:t xml:space="preserve">for </w:t>
      </w:r>
      <w:r w:rsidR="009816E5" w:rsidRPr="00473C61">
        <w:rPr>
          <w:rFonts w:ascii="Times New Roman" w:hAnsi="Times New Roman"/>
          <w:i/>
          <w:sz w:val="24"/>
          <w:szCs w:val="24"/>
        </w:rPr>
        <w:t>non-white</w:t>
      </w:r>
      <w:r w:rsidR="009816E5" w:rsidRPr="00473C61">
        <w:rPr>
          <w:rFonts w:ascii="Times New Roman" w:hAnsi="Times New Roman"/>
          <w:sz w:val="24"/>
          <w:szCs w:val="24"/>
        </w:rPr>
        <w:t xml:space="preserve"> </w:t>
      </w:r>
      <w:r w:rsidR="00DA1F11" w:rsidRPr="00473C61">
        <w:rPr>
          <w:rFonts w:ascii="Times New Roman" w:hAnsi="Times New Roman"/>
          <w:sz w:val="24"/>
          <w:szCs w:val="24"/>
        </w:rPr>
        <w:t>remains positively</w:t>
      </w:r>
      <w:r w:rsidR="009816E5" w:rsidRPr="00473C61">
        <w:rPr>
          <w:rFonts w:ascii="Times New Roman" w:hAnsi="Times New Roman"/>
          <w:sz w:val="24"/>
          <w:szCs w:val="24"/>
        </w:rPr>
        <w:t xml:space="preserve"> related to </w:t>
      </w:r>
      <w:r w:rsidR="00AF529F" w:rsidRPr="00473C61">
        <w:rPr>
          <w:rFonts w:ascii="Times New Roman" w:hAnsi="Times New Roman"/>
          <w:i/>
          <w:sz w:val="24"/>
          <w:szCs w:val="24"/>
        </w:rPr>
        <w:t>NoF</w:t>
      </w:r>
      <w:r w:rsidR="009816E5" w:rsidRPr="00473C61">
        <w:rPr>
          <w:rFonts w:ascii="Times New Roman" w:hAnsi="Times New Roman"/>
          <w:i/>
          <w:sz w:val="24"/>
          <w:szCs w:val="24"/>
        </w:rPr>
        <w:t>inancing</w:t>
      </w:r>
      <w:r w:rsidR="009816E5" w:rsidRPr="00473C61">
        <w:rPr>
          <w:rFonts w:ascii="Times New Roman" w:hAnsi="Times New Roman"/>
          <w:sz w:val="24"/>
          <w:szCs w:val="24"/>
        </w:rPr>
        <w:t xml:space="preserve"> and statistically significant</w:t>
      </w:r>
      <w:r w:rsidR="000F2CBB" w:rsidRPr="00473C61">
        <w:rPr>
          <w:rFonts w:ascii="Times New Roman" w:hAnsi="Times New Roman"/>
          <w:sz w:val="24"/>
          <w:szCs w:val="24"/>
        </w:rPr>
        <w:t xml:space="preserve"> for households below the median income level</w:t>
      </w:r>
      <w:r w:rsidR="009816E5" w:rsidRPr="00473C61">
        <w:rPr>
          <w:rFonts w:ascii="Times New Roman" w:hAnsi="Times New Roman"/>
          <w:sz w:val="24"/>
          <w:szCs w:val="24"/>
        </w:rPr>
        <w:t>.</w:t>
      </w:r>
      <w:r w:rsidR="000F2CBB" w:rsidRPr="00473C61">
        <w:rPr>
          <w:rFonts w:ascii="Times New Roman" w:hAnsi="Times New Roman"/>
          <w:sz w:val="24"/>
          <w:szCs w:val="24"/>
        </w:rPr>
        <w:t xml:space="preserve"> </w:t>
      </w:r>
      <w:r w:rsidR="00260891" w:rsidRPr="00473C61">
        <w:rPr>
          <w:rFonts w:ascii="Times New Roman" w:hAnsi="Times New Roman"/>
          <w:sz w:val="24"/>
          <w:szCs w:val="24"/>
        </w:rPr>
        <w:t>In contrast</w:t>
      </w:r>
      <w:r w:rsidR="000F2CBB" w:rsidRPr="00473C61">
        <w:rPr>
          <w:rFonts w:ascii="Times New Roman" w:hAnsi="Times New Roman"/>
          <w:sz w:val="24"/>
          <w:szCs w:val="24"/>
        </w:rPr>
        <w:t>, w</w:t>
      </w:r>
      <w:r w:rsidR="001424F6" w:rsidRPr="00473C61">
        <w:rPr>
          <w:rFonts w:ascii="Times New Roman" w:hAnsi="Times New Roman"/>
          <w:sz w:val="24"/>
          <w:szCs w:val="24"/>
        </w:rPr>
        <w:t xml:space="preserve">e observe that the coefficient of </w:t>
      </w:r>
      <w:r w:rsidR="001424F6" w:rsidRPr="00473C61">
        <w:rPr>
          <w:rFonts w:ascii="Times New Roman" w:hAnsi="Times New Roman"/>
          <w:i/>
          <w:sz w:val="24"/>
          <w:szCs w:val="24"/>
        </w:rPr>
        <w:t>non-white</w:t>
      </w:r>
      <w:r w:rsidR="001424F6" w:rsidRPr="00473C61">
        <w:rPr>
          <w:rFonts w:ascii="Times New Roman" w:hAnsi="Times New Roman"/>
          <w:sz w:val="24"/>
          <w:szCs w:val="24"/>
        </w:rPr>
        <w:t xml:space="preserve"> loses its significance </w:t>
      </w:r>
      <w:r w:rsidR="00297FCA" w:rsidRPr="00473C61">
        <w:rPr>
          <w:rFonts w:ascii="Times New Roman" w:hAnsi="Times New Roman"/>
          <w:sz w:val="24"/>
          <w:szCs w:val="24"/>
        </w:rPr>
        <w:t>f</w:t>
      </w:r>
      <w:r w:rsidR="00C662B2" w:rsidRPr="00473C61">
        <w:rPr>
          <w:rFonts w:ascii="Times New Roman" w:hAnsi="Times New Roman"/>
          <w:sz w:val="24"/>
          <w:szCs w:val="24"/>
        </w:rPr>
        <w:t xml:space="preserve">or </w:t>
      </w:r>
      <w:r w:rsidR="00DA1F11" w:rsidRPr="00473C61">
        <w:rPr>
          <w:rFonts w:ascii="Times New Roman" w:hAnsi="Times New Roman"/>
          <w:sz w:val="24"/>
          <w:szCs w:val="24"/>
        </w:rPr>
        <w:t>households above</w:t>
      </w:r>
      <w:r w:rsidR="001424F6" w:rsidRPr="00473C61">
        <w:rPr>
          <w:rFonts w:ascii="Times New Roman" w:hAnsi="Times New Roman"/>
          <w:sz w:val="24"/>
          <w:szCs w:val="24"/>
        </w:rPr>
        <w:t xml:space="preserve"> median </w:t>
      </w:r>
      <w:r w:rsidR="001424F6" w:rsidRPr="00473C61">
        <w:rPr>
          <w:rFonts w:ascii="Times New Roman" w:hAnsi="Times New Roman"/>
          <w:sz w:val="24"/>
          <w:szCs w:val="24"/>
        </w:rPr>
        <w:lastRenderedPageBreak/>
        <w:t xml:space="preserve">income. </w:t>
      </w:r>
      <w:r w:rsidR="000F2CBB" w:rsidRPr="00473C61">
        <w:rPr>
          <w:rFonts w:ascii="Times New Roman" w:hAnsi="Times New Roman"/>
          <w:sz w:val="24"/>
          <w:szCs w:val="24"/>
        </w:rPr>
        <w:t xml:space="preserve"> </w:t>
      </w:r>
      <w:r w:rsidR="001424F6" w:rsidRPr="00473C61">
        <w:rPr>
          <w:rFonts w:ascii="Times New Roman" w:hAnsi="Times New Roman"/>
          <w:sz w:val="24"/>
          <w:szCs w:val="24"/>
        </w:rPr>
        <w:t>This suggests that</w:t>
      </w:r>
      <w:r w:rsidR="00E92443" w:rsidRPr="00473C61">
        <w:rPr>
          <w:rFonts w:ascii="Times New Roman" w:hAnsi="Times New Roman"/>
          <w:sz w:val="24"/>
          <w:szCs w:val="24"/>
        </w:rPr>
        <w:t xml:space="preserve"> at higher levels of income the likelihood of </w:t>
      </w:r>
      <w:r w:rsidR="003A3ED3" w:rsidRPr="00473C61">
        <w:rPr>
          <w:rFonts w:ascii="Times New Roman" w:hAnsi="Times New Roman"/>
          <w:sz w:val="24"/>
          <w:szCs w:val="24"/>
        </w:rPr>
        <w:t xml:space="preserve">having financing </w:t>
      </w:r>
      <w:r w:rsidR="00E92443" w:rsidRPr="00473C61">
        <w:rPr>
          <w:rFonts w:ascii="Times New Roman" w:hAnsi="Times New Roman"/>
          <w:sz w:val="24"/>
          <w:szCs w:val="24"/>
        </w:rPr>
        <w:t xml:space="preserve">as a non-white household </w:t>
      </w:r>
      <w:r w:rsidR="003A3ED3" w:rsidRPr="00473C61">
        <w:rPr>
          <w:rFonts w:ascii="Times New Roman" w:hAnsi="Times New Roman"/>
          <w:sz w:val="24"/>
          <w:szCs w:val="24"/>
        </w:rPr>
        <w:t>increases</w:t>
      </w:r>
      <w:r w:rsidR="00875A0E" w:rsidRPr="00473C61">
        <w:rPr>
          <w:rFonts w:ascii="Times New Roman" w:hAnsi="Times New Roman"/>
          <w:sz w:val="24"/>
          <w:szCs w:val="24"/>
        </w:rPr>
        <w:t xml:space="preserve">, especially for </w:t>
      </w:r>
      <w:r w:rsidR="00E92443" w:rsidRPr="00473C61">
        <w:rPr>
          <w:rFonts w:ascii="Times New Roman" w:hAnsi="Times New Roman"/>
          <w:sz w:val="24"/>
          <w:szCs w:val="24"/>
        </w:rPr>
        <w:t xml:space="preserve">loans. </w:t>
      </w:r>
      <w:r w:rsidR="00055D61" w:rsidRPr="00473C61">
        <w:rPr>
          <w:rFonts w:ascii="Times New Roman" w:hAnsi="Times New Roman"/>
          <w:sz w:val="24"/>
          <w:szCs w:val="24"/>
        </w:rPr>
        <w:t xml:space="preserve"> </w:t>
      </w:r>
    </w:p>
    <w:p w:rsidR="00055D61" w:rsidRPr="00473C61" w:rsidRDefault="00055D61" w:rsidP="001D6D37">
      <w:pPr>
        <w:autoSpaceDE w:val="0"/>
        <w:autoSpaceDN w:val="0"/>
        <w:adjustRightInd w:val="0"/>
        <w:spacing w:after="0" w:line="480" w:lineRule="auto"/>
        <w:jc w:val="both"/>
        <w:rPr>
          <w:rFonts w:ascii="Times New Roman" w:hAnsi="Times New Roman"/>
          <w:sz w:val="24"/>
          <w:szCs w:val="24"/>
        </w:rPr>
      </w:pPr>
    </w:p>
    <w:p w:rsidR="001A3BEC" w:rsidRPr="00473C61" w:rsidRDefault="00BB3FB0" w:rsidP="001D6D37">
      <w:pPr>
        <w:autoSpaceDE w:val="0"/>
        <w:autoSpaceDN w:val="0"/>
        <w:adjustRightInd w:val="0"/>
        <w:spacing w:after="0" w:line="480" w:lineRule="auto"/>
        <w:jc w:val="both"/>
        <w:rPr>
          <w:rFonts w:ascii="Times New Roman" w:hAnsi="Times New Roman"/>
          <w:sz w:val="24"/>
          <w:szCs w:val="24"/>
        </w:rPr>
      </w:pPr>
      <w:r w:rsidRPr="00473C61">
        <w:rPr>
          <w:rFonts w:ascii="Times New Roman" w:hAnsi="Times New Roman"/>
          <w:sz w:val="24"/>
          <w:szCs w:val="24"/>
        </w:rPr>
        <w:t xml:space="preserve">Looking at the households with </w:t>
      </w:r>
      <w:r w:rsidR="00BE6121" w:rsidRPr="00473C61">
        <w:rPr>
          <w:rFonts w:ascii="Times New Roman" w:hAnsi="Times New Roman"/>
          <w:sz w:val="24"/>
          <w:szCs w:val="24"/>
        </w:rPr>
        <w:t xml:space="preserve">an </w:t>
      </w:r>
      <w:r w:rsidRPr="00473C61">
        <w:rPr>
          <w:rFonts w:ascii="Times New Roman" w:hAnsi="Times New Roman"/>
          <w:sz w:val="24"/>
          <w:szCs w:val="24"/>
        </w:rPr>
        <w:t xml:space="preserve">employed head, we still find significant and positive coefficient for </w:t>
      </w:r>
      <w:r w:rsidRPr="00473C61">
        <w:rPr>
          <w:rFonts w:ascii="Times New Roman" w:hAnsi="Times New Roman"/>
          <w:i/>
          <w:sz w:val="24"/>
          <w:szCs w:val="24"/>
        </w:rPr>
        <w:t>non-white</w:t>
      </w:r>
      <w:r w:rsidRPr="00473C61">
        <w:rPr>
          <w:rFonts w:ascii="Times New Roman" w:hAnsi="Times New Roman"/>
          <w:sz w:val="24"/>
          <w:szCs w:val="24"/>
        </w:rPr>
        <w:t xml:space="preserve">.  </w:t>
      </w:r>
      <w:r w:rsidR="004F207E" w:rsidRPr="00473C61">
        <w:rPr>
          <w:rFonts w:ascii="Times New Roman" w:hAnsi="Times New Roman"/>
          <w:sz w:val="24"/>
          <w:szCs w:val="24"/>
        </w:rPr>
        <w:t xml:space="preserve">On the other hand, </w:t>
      </w:r>
      <w:r w:rsidR="00C662B2" w:rsidRPr="00473C61">
        <w:rPr>
          <w:rFonts w:ascii="Times New Roman" w:hAnsi="Times New Roman"/>
          <w:sz w:val="24"/>
          <w:szCs w:val="24"/>
        </w:rPr>
        <w:t xml:space="preserve">the </w:t>
      </w:r>
      <w:r w:rsidR="004F207E" w:rsidRPr="00473C61">
        <w:rPr>
          <w:rFonts w:ascii="Times New Roman" w:hAnsi="Times New Roman"/>
          <w:sz w:val="24"/>
          <w:szCs w:val="24"/>
        </w:rPr>
        <w:t xml:space="preserve">coefficient of </w:t>
      </w:r>
      <w:r w:rsidR="004F207E" w:rsidRPr="00473C61">
        <w:rPr>
          <w:rFonts w:ascii="Times New Roman" w:hAnsi="Times New Roman"/>
          <w:i/>
          <w:sz w:val="24"/>
          <w:szCs w:val="24"/>
        </w:rPr>
        <w:t>non-white</w:t>
      </w:r>
      <w:r w:rsidR="004F207E" w:rsidRPr="00473C61">
        <w:rPr>
          <w:rFonts w:ascii="Times New Roman" w:hAnsi="Times New Roman"/>
          <w:sz w:val="24"/>
          <w:szCs w:val="24"/>
        </w:rPr>
        <w:t xml:space="preserve"> is not significant for </w:t>
      </w:r>
      <w:r w:rsidR="00DA3935" w:rsidRPr="00473C61">
        <w:rPr>
          <w:rFonts w:ascii="Times New Roman" w:hAnsi="Times New Roman"/>
          <w:sz w:val="24"/>
          <w:szCs w:val="24"/>
        </w:rPr>
        <w:t xml:space="preserve">the </w:t>
      </w:r>
      <w:r w:rsidR="004F207E" w:rsidRPr="00473C61">
        <w:rPr>
          <w:rFonts w:ascii="Times New Roman" w:hAnsi="Times New Roman"/>
          <w:sz w:val="24"/>
          <w:szCs w:val="24"/>
        </w:rPr>
        <w:t>loan model for unemployed.</w:t>
      </w:r>
      <w:r w:rsidR="001D751F" w:rsidRPr="00473C61">
        <w:rPr>
          <w:rFonts w:ascii="Times New Roman" w:hAnsi="Times New Roman"/>
          <w:sz w:val="24"/>
          <w:szCs w:val="24"/>
        </w:rPr>
        <w:t xml:space="preserve">  </w:t>
      </w:r>
      <w:r w:rsidR="00323C61" w:rsidRPr="00473C61">
        <w:rPr>
          <w:rFonts w:ascii="Times New Roman" w:hAnsi="Times New Roman"/>
          <w:sz w:val="24"/>
          <w:szCs w:val="24"/>
        </w:rPr>
        <w:t xml:space="preserve">We hypothesize that having a mortgage </w:t>
      </w:r>
      <w:r w:rsidR="00055D61" w:rsidRPr="00473C61">
        <w:rPr>
          <w:rFonts w:ascii="Times New Roman" w:hAnsi="Times New Roman"/>
          <w:sz w:val="24"/>
          <w:szCs w:val="24"/>
        </w:rPr>
        <w:t>is a</w:t>
      </w:r>
      <w:r w:rsidR="00323C61" w:rsidRPr="00473C61">
        <w:rPr>
          <w:rFonts w:ascii="Times New Roman" w:hAnsi="Times New Roman"/>
          <w:sz w:val="24"/>
          <w:szCs w:val="24"/>
        </w:rPr>
        <w:t xml:space="preserve"> factor that may </w:t>
      </w:r>
      <w:r w:rsidR="00DA3935" w:rsidRPr="00473C61">
        <w:rPr>
          <w:rFonts w:ascii="Times New Roman" w:hAnsi="Times New Roman"/>
          <w:sz w:val="24"/>
          <w:szCs w:val="24"/>
        </w:rPr>
        <w:t xml:space="preserve">signal </w:t>
      </w:r>
      <w:r w:rsidR="00323C61" w:rsidRPr="00473C61">
        <w:rPr>
          <w:rFonts w:ascii="Times New Roman" w:hAnsi="Times New Roman"/>
          <w:sz w:val="24"/>
          <w:szCs w:val="24"/>
        </w:rPr>
        <w:t>credi</w:t>
      </w:r>
      <w:r w:rsidR="00DA3935" w:rsidRPr="00473C61">
        <w:rPr>
          <w:rFonts w:ascii="Times New Roman" w:hAnsi="Times New Roman"/>
          <w:sz w:val="24"/>
          <w:szCs w:val="24"/>
        </w:rPr>
        <w:t>t-worthiness</w:t>
      </w:r>
      <w:r w:rsidR="00323C61" w:rsidRPr="00473C61">
        <w:rPr>
          <w:rFonts w:ascii="Times New Roman" w:hAnsi="Times New Roman"/>
          <w:sz w:val="24"/>
          <w:szCs w:val="24"/>
        </w:rPr>
        <w:t xml:space="preserve"> of the household. </w:t>
      </w:r>
      <w:r w:rsidR="00055D61" w:rsidRPr="00473C61">
        <w:rPr>
          <w:rFonts w:ascii="Times New Roman" w:hAnsi="Times New Roman"/>
          <w:sz w:val="24"/>
          <w:szCs w:val="24"/>
        </w:rPr>
        <w:t>Especially i</w:t>
      </w:r>
      <w:r w:rsidR="00323C61" w:rsidRPr="00473C61">
        <w:rPr>
          <w:rFonts w:ascii="Times New Roman" w:hAnsi="Times New Roman"/>
          <w:sz w:val="24"/>
          <w:szCs w:val="24"/>
        </w:rPr>
        <w:t xml:space="preserve">n the UK having a mortgage </w:t>
      </w:r>
      <w:r w:rsidR="00DA1F11" w:rsidRPr="00473C61">
        <w:rPr>
          <w:rFonts w:ascii="Times New Roman" w:hAnsi="Times New Roman"/>
          <w:sz w:val="24"/>
          <w:szCs w:val="24"/>
        </w:rPr>
        <w:t>eases access</w:t>
      </w:r>
      <w:r w:rsidR="00323C61" w:rsidRPr="00473C61">
        <w:rPr>
          <w:rFonts w:ascii="Times New Roman" w:hAnsi="Times New Roman"/>
          <w:sz w:val="24"/>
          <w:szCs w:val="24"/>
        </w:rPr>
        <w:t xml:space="preserve"> </w:t>
      </w:r>
      <w:r w:rsidR="00AA62B7" w:rsidRPr="00473C61">
        <w:rPr>
          <w:rFonts w:ascii="Times New Roman" w:hAnsi="Times New Roman"/>
          <w:sz w:val="24"/>
          <w:szCs w:val="24"/>
        </w:rPr>
        <w:t xml:space="preserve">to </w:t>
      </w:r>
      <w:r w:rsidR="00323C61" w:rsidRPr="00473C61">
        <w:rPr>
          <w:rFonts w:ascii="Times New Roman" w:hAnsi="Times New Roman"/>
          <w:sz w:val="24"/>
          <w:szCs w:val="24"/>
        </w:rPr>
        <w:t xml:space="preserve">further credit sources.  Therefore, it is of interest to examine </w:t>
      </w:r>
      <w:r w:rsidR="00DA3935" w:rsidRPr="00473C61">
        <w:rPr>
          <w:rFonts w:ascii="Times New Roman" w:hAnsi="Times New Roman"/>
          <w:sz w:val="24"/>
          <w:szCs w:val="24"/>
        </w:rPr>
        <w:t>the likelihood of borrowing by</w:t>
      </w:r>
      <w:r w:rsidR="00323C61" w:rsidRPr="00473C61">
        <w:rPr>
          <w:rFonts w:ascii="Times New Roman" w:hAnsi="Times New Roman"/>
          <w:sz w:val="24"/>
          <w:szCs w:val="24"/>
        </w:rPr>
        <w:t xml:space="preserve"> </w:t>
      </w:r>
      <w:r w:rsidR="00552F51" w:rsidRPr="00473C61">
        <w:rPr>
          <w:rFonts w:ascii="Times New Roman" w:hAnsi="Times New Roman"/>
          <w:sz w:val="24"/>
          <w:szCs w:val="24"/>
        </w:rPr>
        <w:t>non-white househo</w:t>
      </w:r>
      <w:r w:rsidR="00DA3935" w:rsidRPr="00473C61">
        <w:rPr>
          <w:rFonts w:ascii="Times New Roman" w:hAnsi="Times New Roman"/>
          <w:sz w:val="24"/>
          <w:szCs w:val="24"/>
        </w:rPr>
        <w:t>lds within these sub-groups</w:t>
      </w:r>
      <w:r w:rsidR="00552F51" w:rsidRPr="00473C61">
        <w:rPr>
          <w:rFonts w:ascii="Times New Roman" w:hAnsi="Times New Roman"/>
          <w:sz w:val="24"/>
          <w:szCs w:val="24"/>
        </w:rPr>
        <w:t>.  R</w:t>
      </w:r>
      <w:r w:rsidR="00FC075B" w:rsidRPr="00473C61">
        <w:rPr>
          <w:rFonts w:ascii="Times New Roman" w:hAnsi="Times New Roman"/>
          <w:sz w:val="24"/>
          <w:szCs w:val="24"/>
        </w:rPr>
        <w:t xml:space="preserve">esults </w:t>
      </w:r>
      <w:r w:rsidR="00940AF3" w:rsidRPr="00473C61">
        <w:rPr>
          <w:rFonts w:ascii="Times New Roman" w:hAnsi="Times New Roman"/>
          <w:sz w:val="24"/>
          <w:szCs w:val="24"/>
        </w:rPr>
        <w:t xml:space="preserve">show </w:t>
      </w:r>
      <w:r w:rsidR="00AA62B7" w:rsidRPr="00473C61">
        <w:rPr>
          <w:rFonts w:ascii="Times New Roman" w:hAnsi="Times New Roman"/>
          <w:sz w:val="24"/>
          <w:szCs w:val="24"/>
        </w:rPr>
        <w:t xml:space="preserve">that </w:t>
      </w:r>
      <w:r w:rsidR="00940AF3" w:rsidRPr="00473C61">
        <w:rPr>
          <w:rFonts w:ascii="Times New Roman" w:hAnsi="Times New Roman"/>
          <w:sz w:val="24"/>
          <w:szCs w:val="24"/>
        </w:rPr>
        <w:t xml:space="preserve">within the group of households </w:t>
      </w:r>
      <w:r w:rsidR="00AA62B7" w:rsidRPr="00473C61">
        <w:rPr>
          <w:rFonts w:ascii="Times New Roman" w:hAnsi="Times New Roman"/>
          <w:sz w:val="24"/>
          <w:szCs w:val="24"/>
        </w:rPr>
        <w:t xml:space="preserve">that </w:t>
      </w:r>
      <w:r w:rsidR="00055D61" w:rsidRPr="00473C61">
        <w:rPr>
          <w:rFonts w:ascii="Times New Roman" w:hAnsi="Times New Roman"/>
          <w:sz w:val="24"/>
          <w:szCs w:val="24"/>
        </w:rPr>
        <w:t>have a mortgage</w:t>
      </w:r>
      <w:r w:rsidR="00DA1F11" w:rsidRPr="00473C61">
        <w:rPr>
          <w:rFonts w:ascii="Times New Roman" w:hAnsi="Times New Roman"/>
          <w:sz w:val="24"/>
          <w:szCs w:val="24"/>
        </w:rPr>
        <w:t xml:space="preserve"> non</w:t>
      </w:r>
      <w:r w:rsidR="00940AF3" w:rsidRPr="00473C61">
        <w:rPr>
          <w:rFonts w:ascii="Times New Roman" w:hAnsi="Times New Roman"/>
          <w:sz w:val="24"/>
          <w:szCs w:val="24"/>
        </w:rPr>
        <w:t xml:space="preserve">-white households </w:t>
      </w:r>
      <w:r w:rsidR="00AA62B7" w:rsidRPr="00473C61">
        <w:rPr>
          <w:rFonts w:ascii="Times New Roman" w:hAnsi="Times New Roman"/>
          <w:sz w:val="24"/>
          <w:szCs w:val="24"/>
        </w:rPr>
        <w:t xml:space="preserve">are still </w:t>
      </w:r>
      <w:r w:rsidR="00DA3935" w:rsidRPr="00473C61">
        <w:rPr>
          <w:rFonts w:ascii="Times New Roman" w:hAnsi="Times New Roman"/>
          <w:sz w:val="24"/>
          <w:szCs w:val="24"/>
        </w:rPr>
        <w:t xml:space="preserve">less </w:t>
      </w:r>
      <w:r w:rsidR="00940AF3" w:rsidRPr="00473C61">
        <w:rPr>
          <w:rFonts w:ascii="Times New Roman" w:hAnsi="Times New Roman"/>
          <w:sz w:val="24"/>
          <w:szCs w:val="24"/>
        </w:rPr>
        <w:t xml:space="preserve">likely </w:t>
      </w:r>
      <w:r w:rsidR="00712700" w:rsidRPr="00473C61">
        <w:rPr>
          <w:rFonts w:ascii="Times New Roman" w:hAnsi="Times New Roman"/>
          <w:sz w:val="24"/>
          <w:szCs w:val="24"/>
        </w:rPr>
        <w:t xml:space="preserve">to </w:t>
      </w:r>
      <w:r w:rsidR="00DA3935" w:rsidRPr="00473C61">
        <w:rPr>
          <w:rFonts w:ascii="Times New Roman" w:hAnsi="Times New Roman"/>
          <w:sz w:val="24"/>
          <w:szCs w:val="24"/>
        </w:rPr>
        <w:t xml:space="preserve">have credit.  </w:t>
      </w:r>
    </w:p>
    <w:p w:rsidR="001A3BEC" w:rsidRPr="00473C61" w:rsidRDefault="001A3BEC" w:rsidP="001D6D37">
      <w:pPr>
        <w:autoSpaceDE w:val="0"/>
        <w:autoSpaceDN w:val="0"/>
        <w:adjustRightInd w:val="0"/>
        <w:spacing w:after="0" w:line="480" w:lineRule="auto"/>
        <w:jc w:val="both"/>
        <w:rPr>
          <w:rFonts w:ascii="Times New Roman" w:hAnsi="Times New Roman"/>
          <w:sz w:val="24"/>
          <w:szCs w:val="24"/>
        </w:rPr>
      </w:pPr>
    </w:p>
    <w:p w:rsidR="009035EF" w:rsidRPr="00473C61" w:rsidRDefault="009035EF" w:rsidP="001D6D37">
      <w:pPr>
        <w:autoSpaceDE w:val="0"/>
        <w:autoSpaceDN w:val="0"/>
        <w:adjustRightInd w:val="0"/>
        <w:spacing w:after="0" w:line="480" w:lineRule="auto"/>
        <w:jc w:val="both"/>
        <w:rPr>
          <w:rFonts w:ascii="Times New Roman" w:hAnsi="Times New Roman"/>
          <w:sz w:val="24"/>
          <w:szCs w:val="24"/>
        </w:rPr>
      </w:pPr>
      <w:r w:rsidRPr="00473C61">
        <w:rPr>
          <w:rFonts w:ascii="Times New Roman" w:hAnsi="Times New Roman"/>
          <w:sz w:val="24"/>
          <w:szCs w:val="24"/>
        </w:rPr>
        <w:t>Self</w:t>
      </w:r>
      <w:r w:rsidR="00AA62B7" w:rsidRPr="00473C61">
        <w:rPr>
          <w:rFonts w:ascii="Times New Roman" w:hAnsi="Times New Roman"/>
          <w:sz w:val="24"/>
          <w:szCs w:val="24"/>
        </w:rPr>
        <w:t>-</w:t>
      </w:r>
      <w:r w:rsidRPr="00473C61">
        <w:rPr>
          <w:rFonts w:ascii="Times New Roman" w:hAnsi="Times New Roman"/>
          <w:sz w:val="24"/>
          <w:szCs w:val="24"/>
        </w:rPr>
        <w:t>exclusion may also be a determin</w:t>
      </w:r>
      <w:r w:rsidR="00AA62B7" w:rsidRPr="00473C61">
        <w:rPr>
          <w:rFonts w:ascii="Times New Roman" w:hAnsi="Times New Roman"/>
          <w:sz w:val="24"/>
          <w:szCs w:val="24"/>
        </w:rPr>
        <w:t>ing</w:t>
      </w:r>
      <w:r w:rsidRPr="00473C61">
        <w:rPr>
          <w:rFonts w:ascii="Times New Roman" w:hAnsi="Times New Roman"/>
          <w:sz w:val="24"/>
          <w:szCs w:val="24"/>
        </w:rPr>
        <w:t xml:space="preserve"> factor of credit exclusion.  In simple terms some households may refrain from banking services at all</w:t>
      </w:r>
      <w:r w:rsidR="00991DF7" w:rsidRPr="00473C61">
        <w:rPr>
          <w:rFonts w:ascii="Times New Roman" w:hAnsi="Times New Roman"/>
          <w:sz w:val="24"/>
          <w:szCs w:val="24"/>
        </w:rPr>
        <w:t xml:space="preserve">.  For robustness and to test whether this is the case for non-white households, we identify households without a bank account and drop these from the sample.  This leaves us with a sample of households which are certainly in connection with the banking system.  </w:t>
      </w:r>
      <w:r w:rsidR="00994D98" w:rsidRPr="00473C61">
        <w:rPr>
          <w:rFonts w:ascii="Times New Roman" w:hAnsi="Times New Roman"/>
          <w:sz w:val="24"/>
          <w:szCs w:val="24"/>
        </w:rPr>
        <w:t>We f</w:t>
      </w:r>
      <w:r w:rsidR="005E027D" w:rsidRPr="00473C61">
        <w:rPr>
          <w:rFonts w:ascii="Times New Roman" w:hAnsi="Times New Roman"/>
          <w:sz w:val="24"/>
          <w:szCs w:val="24"/>
        </w:rPr>
        <w:t xml:space="preserve">ind that </w:t>
      </w:r>
      <w:r w:rsidR="001A3BEC" w:rsidRPr="00473C61">
        <w:rPr>
          <w:rFonts w:ascii="Times New Roman" w:hAnsi="Times New Roman"/>
          <w:sz w:val="24"/>
          <w:szCs w:val="24"/>
        </w:rPr>
        <w:t>results do</w:t>
      </w:r>
      <w:r w:rsidR="00991DF7" w:rsidRPr="00473C61">
        <w:rPr>
          <w:rFonts w:ascii="Times New Roman" w:hAnsi="Times New Roman"/>
          <w:sz w:val="24"/>
          <w:szCs w:val="24"/>
        </w:rPr>
        <w:t xml:space="preserve"> not change and non-white households are </w:t>
      </w:r>
      <w:r w:rsidR="001A3BEC" w:rsidRPr="00473C61">
        <w:rPr>
          <w:rFonts w:ascii="Times New Roman" w:hAnsi="Times New Roman"/>
          <w:sz w:val="24"/>
          <w:szCs w:val="24"/>
        </w:rPr>
        <w:t xml:space="preserve">still </w:t>
      </w:r>
      <w:r w:rsidR="001D751F" w:rsidRPr="00473C61">
        <w:rPr>
          <w:rFonts w:ascii="Times New Roman" w:hAnsi="Times New Roman"/>
          <w:sz w:val="24"/>
          <w:szCs w:val="24"/>
        </w:rPr>
        <w:t>less likely to have credit.</w:t>
      </w:r>
      <w:r w:rsidR="00991DF7" w:rsidRPr="00473C61">
        <w:rPr>
          <w:rFonts w:ascii="Times New Roman" w:hAnsi="Times New Roman"/>
          <w:sz w:val="24"/>
          <w:szCs w:val="24"/>
        </w:rPr>
        <w:t xml:space="preserve">  </w:t>
      </w:r>
    </w:p>
    <w:p w:rsidR="00AA62B7" w:rsidRPr="00473C61" w:rsidRDefault="00AA62B7" w:rsidP="001D6D37">
      <w:pPr>
        <w:autoSpaceDE w:val="0"/>
        <w:autoSpaceDN w:val="0"/>
        <w:adjustRightInd w:val="0"/>
        <w:spacing w:after="0" w:line="480" w:lineRule="auto"/>
        <w:jc w:val="both"/>
        <w:rPr>
          <w:rFonts w:ascii="Times New Roman" w:hAnsi="Times New Roman"/>
          <w:sz w:val="24"/>
          <w:szCs w:val="24"/>
        </w:rPr>
      </w:pPr>
    </w:p>
    <w:p w:rsidR="00186359" w:rsidRPr="00473C61" w:rsidRDefault="00186359" w:rsidP="00186359">
      <w:pPr>
        <w:numPr>
          <w:ilvl w:val="1"/>
          <w:numId w:val="4"/>
        </w:numPr>
        <w:autoSpaceDE w:val="0"/>
        <w:autoSpaceDN w:val="0"/>
        <w:adjustRightInd w:val="0"/>
        <w:spacing w:after="0" w:line="480" w:lineRule="auto"/>
        <w:ind w:left="426" w:hanging="426"/>
        <w:jc w:val="both"/>
        <w:rPr>
          <w:rFonts w:ascii="Times New Roman" w:hAnsi="Times New Roman"/>
          <w:i/>
          <w:sz w:val="24"/>
          <w:szCs w:val="24"/>
        </w:rPr>
      </w:pPr>
      <w:r w:rsidRPr="00473C61">
        <w:rPr>
          <w:rFonts w:ascii="Times New Roman" w:hAnsi="Times New Roman"/>
          <w:i/>
          <w:sz w:val="24"/>
          <w:szCs w:val="24"/>
        </w:rPr>
        <w:t>Intensity of financing</w:t>
      </w:r>
    </w:p>
    <w:p w:rsidR="00186359" w:rsidRPr="00473C61" w:rsidRDefault="00A5338A" w:rsidP="001D6D37">
      <w:pPr>
        <w:autoSpaceDE w:val="0"/>
        <w:autoSpaceDN w:val="0"/>
        <w:adjustRightInd w:val="0"/>
        <w:spacing w:after="0" w:line="480" w:lineRule="auto"/>
        <w:jc w:val="both"/>
        <w:rPr>
          <w:rFonts w:ascii="Times New Roman" w:hAnsi="Times New Roman"/>
          <w:sz w:val="24"/>
          <w:szCs w:val="24"/>
        </w:rPr>
      </w:pPr>
      <w:r w:rsidRPr="00473C61">
        <w:rPr>
          <w:rFonts w:ascii="Times New Roman" w:hAnsi="Times New Roman"/>
          <w:sz w:val="24"/>
          <w:szCs w:val="24"/>
        </w:rPr>
        <w:t xml:space="preserve">So far we have used dummy variables </w:t>
      </w:r>
      <w:r w:rsidR="00EE0B2F" w:rsidRPr="00473C61">
        <w:rPr>
          <w:rFonts w:ascii="Times New Roman" w:hAnsi="Times New Roman"/>
          <w:sz w:val="24"/>
          <w:szCs w:val="24"/>
        </w:rPr>
        <w:t>to proxy access</w:t>
      </w:r>
      <w:r w:rsidR="00AA62B7" w:rsidRPr="00473C61">
        <w:rPr>
          <w:rFonts w:ascii="Times New Roman" w:hAnsi="Times New Roman"/>
          <w:sz w:val="24"/>
          <w:szCs w:val="24"/>
        </w:rPr>
        <w:t xml:space="preserve"> to consumer</w:t>
      </w:r>
      <w:r w:rsidR="00EE0B2F" w:rsidRPr="00473C61">
        <w:rPr>
          <w:rFonts w:ascii="Times New Roman" w:hAnsi="Times New Roman"/>
          <w:sz w:val="24"/>
          <w:szCs w:val="24"/>
        </w:rPr>
        <w:t xml:space="preserve"> finance</w:t>
      </w:r>
      <w:r w:rsidRPr="00473C61">
        <w:rPr>
          <w:rFonts w:ascii="Times New Roman" w:hAnsi="Times New Roman"/>
          <w:sz w:val="24"/>
          <w:szCs w:val="24"/>
        </w:rPr>
        <w:t xml:space="preserve">.  </w:t>
      </w:r>
      <w:r w:rsidR="005E027D" w:rsidRPr="00473C61">
        <w:rPr>
          <w:rFonts w:ascii="Times New Roman" w:hAnsi="Times New Roman"/>
          <w:sz w:val="24"/>
          <w:szCs w:val="24"/>
        </w:rPr>
        <w:t xml:space="preserve">Financial exclusion may also take the form of limiting the amount of finance that these households can obtain.  </w:t>
      </w:r>
      <w:r w:rsidRPr="00473C61">
        <w:rPr>
          <w:rFonts w:ascii="Times New Roman" w:hAnsi="Times New Roman"/>
          <w:sz w:val="24"/>
          <w:szCs w:val="24"/>
        </w:rPr>
        <w:t xml:space="preserve">In this section we employ an alternative variable that measures the </w:t>
      </w:r>
      <w:r w:rsidRPr="00473C61">
        <w:rPr>
          <w:rFonts w:ascii="Times New Roman" w:hAnsi="Times New Roman"/>
          <w:i/>
          <w:sz w:val="24"/>
          <w:szCs w:val="24"/>
        </w:rPr>
        <w:t>intensity</w:t>
      </w:r>
      <w:r w:rsidRPr="00473C61">
        <w:rPr>
          <w:rFonts w:ascii="Times New Roman" w:hAnsi="Times New Roman"/>
          <w:sz w:val="24"/>
          <w:szCs w:val="24"/>
        </w:rPr>
        <w:t xml:space="preserve"> of financing by households.  We measure the intensity of financing by aggregating the number </w:t>
      </w:r>
      <w:r w:rsidRPr="00473C61">
        <w:rPr>
          <w:rFonts w:ascii="Times New Roman" w:hAnsi="Times New Roman"/>
          <w:sz w:val="24"/>
          <w:szCs w:val="24"/>
        </w:rPr>
        <w:lastRenderedPageBreak/>
        <w:t>of loans that households have</w:t>
      </w:r>
      <w:r w:rsidRPr="00473C61">
        <w:rPr>
          <w:rStyle w:val="Rimandonotaapidipagina"/>
          <w:rFonts w:ascii="Times New Roman" w:hAnsi="Times New Roman"/>
          <w:sz w:val="24"/>
          <w:szCs w:val="24"/>
        </w:rPr>
        <w:footnoteReference w:id="15"/>
      </w:r>
      <w:r w:rsidRPr="00473C61">
        <w:rPr>
          <w:rFonts w:ascii="Times New Roman" w:hAnsi="Times New Roman"/>
          <w:sz w:val="24"/>
          <w:szCs w:val="24"/>
        </w:rPr>
        <w:t xml:space="preserve">.  </w:t>
      </w:r>
      <w:r w:rsidR="00EE0B2F" w:rsidRPr="00473C61">
        <w:rPr>
          <w:rFonts w:ascii="Times New Roman" w:hAnsi="Times New Roman"/>
          <w:sz w:val="24"/>
          <w:szCs w:val="24"/>
        </w:rPr>
        <w:t xml:space="preserve">This gives us the opportunity to examine </w:t>
      </w:r>
      <w:r w:rsidR="00776944" w:rsidRPr="00473C61">
        <w:rPr>
          <w:rFonts w:ascii="Times New Roman" w:hAnsi="Times New Roman"/>
          <w:sz w:val="24"/>
          <w:szCs w:val="24"/>
        </w:rPr>
        <w:t xml:space="preserve">the circumstances of </w:t>
      </w:r>
      <w:r w:rsidR="00EE0B2F" w:rsidRPr="00473C61">
        <w:rPr>
          <w:rFonts w:ascii="Times New Roman" w:hAnsi="Times New Roman"/>
          <w:sz w:val="24"/>
          <w:szCs w:val="24"/>
        </w:rPr>
        <w:t>non-white househ</w:t>
      </w:r>
      <w:r w:rsidR="00776944" w:rsidRPr="00473C61">
        <w:rPr>
          <w:rFonts w:ascii="Times New Roman" w:hAnsi="Times New Roman"/>
          <w:sz w:val="24"/>
          <w:szCs w:val="24"/>
        </w:rPr>
        <w:t xml:space="preserve">olds </w:t>
      </w:r>
      <w:r w:rsidR="00EE0B2F" w:rsidRPr="00473C61">
        <w:rPr>
          <w:rFonts w:ascii="Times New Roman" w:hAnsi="Times New Roman"/>
          <w:sz w:val="24"/>
          <w:szCs w:val="24"/>
        </w:rPr>
        <w:t xml:space="preserve">after they </w:t>
      </w:r>
      <w:r w:rsidR="00BA57C3" w:rsidRPr="00473C61">
        <w:rPr>
          <w:rFonts w:ascii="Times New Roman" w:hAnsi="Times New Roman"/>
          <w:sz w:val="24"/>
          <w:szCs w:val="24"/>
        </w:rPr>
        <w:t xml:space="preserve">have </w:t>
      </w:r>
      <w:r w:rsidR="00EE0B2F" w:rsidRPr="00473C61">
        <w:rPr>
          <w:rFonts w:ascii="Times New Roman" w:hAnsi="Times New Roman"/>
          <w:sz w:val="24"/>
          <w:szCs w:val="24"/>
        </w:rPr>
        <w:t xml:space="preserve">accessed finance.   </w:t>
      </w:r>
      <w:r w:rsidR="001D751F" w:rsidRPr="00473C61">
        <w:rPr>
          <w:rFonts w:ascii="Times New Roman" w:hAnsi="Times New Roman"/>
          <w:sz w:val="24"/>
          <w:szCs w:val="24"/>
        </w:rPr>
        <w:t>We present results</w:t>
      </w:r>
      <w:r w:rsidR="00994D98" w:rsidRPr="00473C61">
        <w:rPr>
          <w:rFonts w:ascii="Times New Roman" w:hAnsi="Times New Roman"/>
          <w:sz w:val="24"/>
          <w:szCs w:val="24"/>
        </w:rPr>
        <w:t xml:space="preserve"> in Table 5</w:t>
      </w:r>
      <w:r w:rsidR="00776944" w:rsidRPr="00473C61">
        <w:rPr>
          <w:rFonts w:ascii="Times New Roman" w:hAnsi="Times New Roman"/>
          <w:sz w:val="24"/>
          <w:szCs w:val="24"/>
        </w:rPr>
        <w:t xml:space="preserve"> for the baseline and treatment effects models as well as for sub</w:t>
      </w:r>
      <w:r w:rsidR="005E027D" w:rsidRPr="00473C61">
        <w:rPr>
          <w:rFonts w:ascii="Times New Roman" w:hAnsi="Times New Roman"/>
          <w:sz w:val="24"/>
          <w:szCs w:val="24"/>
        </w:rPr>
        <w:t>-</w:t>
      </w:r>
      <w:r w:rsidR="00776944" w:rsidRPr="00473C61">
        <w:rPr>
          <w:rFonts w:ascii="Times New Roman" w:hAnsi="Times New Roman"/>
          <w:sz w:val="24"/>
          <w:szCs w:val="24"/>
        </w:rPr>
        <w:t>groups</w:t>
      </w:r>
      <w:r w:rsidR="001D751F" w:rsidRPr="00473C61">
        <w:rPr>
          <w:rFonts w:ascii="Times New Roman" w:hAnsi="Times New Roman"/>
          <w:sz w:val="24"/>
          <w:szCs w:val="24"/>
        </w:rPr>
        <w:t xml:space="preserve">. </w:t>
      </w:r>
      <w:r w:rsidR="005D1C59" w:rsidRPr="00473C61">
        <w:rPr>
          <w:rFonts w:ascii="Times New Roman" w:hAnsi="Times New Roman"/>
          <w:sz w:val="24"/>
          <w:szCs w:val="24"/>
        </w:rPr>
        <w:t xml:space="preserve"> In </w:t>
      </w:r>
      <w:r w:rsidR="00776944" w:rsidRPr="00473C61">
        <w:rPr>
          <w:rFonts w:ascii="Times New Roman" w:hAnsi="Times New Roman"/>
          <w:sz w:val="24"/>
          <w:szCs w:val="24"/>
        </w:rPr>
        <w:t>general</w:t>
      </w:r>
      <w:r w:rsidR="005D1C59" w:rsidRPr="00473C61">
        <w:rPr>
          <w:rFonts w:ascii="Times New Roman" w:hAnsi="Times New Roman"/>
          <w:sz w:val="24"/>
          <w:szCs w:val="24"/>
        </w:rPr>
        <w:t xml:space="preserve"> we find a significant and a negative relationship between </w:t>
      </w:r>
      <w:r w:rsidR="005D1C59" w:rsidRPr="00473C61">
        <w:rPr>
          <w:rFonts w:ascii="Times New Roman" w:hAnsi="Times New Roman"/>
          <w:i/>
          <w:sz w:val="24"/>
          <w:szCs w:val="24"/>
        </w:rPr>
        <w:t xml:space="preserve">non-white </w:t>
      </w:r>
      <w:r w:rsidR="005D1C59" w:rsidRPr="00473C61">
        <w:rPr>
          <w:rFonts w:ascii="Times New Roman" w:hAnsi="Times New Roman"/>
          <w:sz w:val="24"/>
          <w:szCs w:val="24"/>
        </w:rPr>
        <w:t xml:space="preserve">and </w:t>
      </w:r>
      <w:r w:rsidR="00CA4E64" w:rsidRPr="00473C61">
        <w:rPr>
          <w:rFonts w:ascii="Times New Roman" w:hAnsi="Times New Roman"/>
          <w:sz w:val="24"/>
          <w:szCs w:val="24"/>
        </w:rPr>
        <w:t xml:space="preserve">the </w:t>
      </w:r>
      <w:r w:rsidR="005D1C59" w:rsidRPr="00473C61">
        <w:rPr>
          <w:rFonts w:ascii="Times New Roman" w:hAnsi="Times New Roman"/>
          <w:sz w:val="24"/>
          <w:szCs w:val="24"/>
        </w:rPr>
        <w:t xml:space="preserve">total number of loans.  </w:t>
      </w:r>
      <w:r w:rsidR="00776944" w:rsidRPr="00473C61">
        <w:rPr>
          <w:rFonts w:ascii="Times New Roman" w:hAnsi="Times New Roman"/>
          <w:sz w:val="24"/>
          <w:szCs w:val="24"/>
        </w:rPr>
        <w:t>Exceptions are</w:t>
      </w:r>
      <w:r w:rsidR="00AA0602" w:rsidRPr="00473C61">
        <w:rPr>
          <w:rFonts w:ascii="Times New Roman" w:hAnsi="Times New Roman"/>
          <w:sz w:val="24"/>
          <w:szCs w:val="24"/>
        </w:rPr>
        <w:t xml:space="preserve"> observed in the </w:t>
      </w:r>
      <w:r w:rsidR="00776944" w:rsidRPr="00473C61">
        <w:rPr>
          <w:rFonts w:ascii="Times New Roman" w:hAnsi="Times New Roman"/>
          <w:sz w:val="24"/>
          <w:szCs w:val="24"/>
        </w:rPr>
        <w:t>sub-</w:t>
      </w:r>
      <w:r w:rsidR="00AA0602" w:rsidRPr="00473C61">
        <w:rPr>
          <w:rFonts w:ascii="Times New Roman" w:hAnsi="Times New Roman"/>
          <w:sz w:val="24"/>
          <w:szCs w:val="24"/>
        </w:rPr>
        <w:t>group with above median income</w:t>
      </w:r>
      <w:r w:rsidR="001F558F" w:rsidRPr="00473C61">
        <w:rPr>
          <w:rFonts w:ascii="Times New Roman" w:hAnsi="Times New Roman"/>
          <w:sz w:val="24"/>
          <w:szCs w:val="24"/>
        </w:rPr>
        <w:t xml:space="preserve">, household heads who are employed and mortgager households. For these sub-groups we do not find a significant coefficient for </w:t>
      </w:r>
      <w:r w:rsidR="001F558F" w:rsidRPr="00473C61">
        <w:rPr>
          <w:rFonts w:ascii="Times New Roman" w:hAnsi="Times New Roman"/>
          <w:i/>
          <w:sz w:val="24"/>
          <w:szCs w:val="24"/>
        </w:rPr>
        <w:t>non-white</w:t>
      </w:r>
      <w:r w:rsidR="00AA0602" w:rsidRPr="00473C61">
        <w:rPr>
          <w:rFonts w:ascii="Times New Roman" w:hAnsi="Times New Roman"/>
          <w:sz w:val="24"/>
          <w:szCs w:val="24"/>
        </w:rPr>
        <w:t xml:space="preserve">.  </w:t>
      </w:r>
      <w:r w:rsidR="00D22F17" w:rsidRPr="00473C61">
        <w:rPr>
          <w:rFonts w:ascii="Times New Roman" w:hAnsi="Times New Roman"/>
          <w:sz w:val="24"/>
          <w:szCs w:val="24"/>
        </w:rPr>
        <w:t xml:space="preserve">Overall, </w:t>
      </w:r>
      <w:r w:rsidR="00AA0602" w:rsidRPr="00473C61">
        <w:rPr>
          <w:rFonts w:ascii="Times New Roman" w:hAnsi="Times New Roman"/>
          <w:sz w:val="24"/>
          <w:szCs w:val="24"/>
        </w:rPr>
        <w:t>results</w:t>
      </w:r>
      <w:r w:rsidR="00CA4E64" w:rsidRPr="00473C61">
        <w:rPr>
          <w:rFonts w:ascii="Times New Roman" w:hAnsi="Times New Roman"/>
          <w:sz w:val="24"/>
          <w:szCs w:val="24"/>
        </w:rPr>
        <w:t xml:space="preserve"> show that </w:t>
      </w:r>
      <w:r w:rsidR="00AA0602" w:rsidRPr="00473C61">
        <w:rPr>
          <w:rFonts w:ascii="Times New Roman" w:hAnsi="Times New Roman"/>
          <w:sz w:val="24"/>
          <w:szCs w:val="24"/>
        </w:rPr>
        <w:t xml:space="preserve">non-white </w:t>
      </w:r>
      <w:r w:rsidR="00CA4E64" w:rsidRPr="00473C61">
        <w:rPr>
          <w:rFonts w:ascii="Times New Roman" w:hAnsi="Times New Roman"/>
          <w:sz w:val="24"/>
          <w:szCs w:val="24"/>
        </w:rPr>
        <w:t>household</w:t>
      </w:r>
      <w:r w:rsidR="00AA62B7" w:rsidRPr="00473C61">
        <w:rPr>
          <w:rFonts w:ascii="Times New Roman" w:hAnsi="Times New Roman"/>
          <w:sz w:val="24"/>
          <w:szCs w:val="24"/>
        </w:rPr>
        <w:t>s</w:t>
      </w:r>
      <w:r w:rsidR="00CA4E64" w:rsidRPr="00473C61">
        <w:rPr>
          <w:rFonts w:ascii="Times New Roman" w:hAnsi="Times New Roman"/>
          <w:sz w:val="24"/>
          <w:szCs w:val="24"/>
        </w:rPr>
        <w:t xml:space="preserve"> have</w:t>
      </w:r>
      <w:r w:rsidR="00260891" w:rsidRPr="00473C61">
        <w:rPr>
          <w:rFonts w:ascii="Times New Roman" w:hAnsi="Times New Roman"/>
          <w:sz w:val="24"/>
          <w:szCs w:val="24"/>
        </w:rPr>
        <w:t xml:space="preserve"> a</w:t>
      </w:r>
      <w:r w:rsidR="00CA4E64" w:rsidRPr="00473C61">
        <w:rPr>
          <w:rFonts w:ascii="Times New Roman" w:hAnsi="Times New Roman"/>
          <w:sz w:val="24"/>
          <w:szCs w:val="24"/>
        </w:rPr>
        <w:t xml:space="preserve"> l</w:t>
      </w:r>
      <w:r w:rsidR="00AA62B7" w:rsidRPr="00473C61">
        <w:rPr>
          <w:rFonts w:ascii="Times New Roman" w:hAnsi="Times New Roman"/>
          <w:sz w:val="24"/>
          <w:szCs w:val="24"/>
        </w:rPr>
        <w:t xml:space="preserve">ower </w:t>
      </w:r>
      <w:r w:rsidR="00CA4E64" w:rsidRPr="00473C61">
        <w:rPr>
          <w:rFonts w:ascii="Times New Roman" w:hAnsi="Times New Roman"/>
          <w:sz w:val="24"/>
          <w:szCs w:val="24"/>
        </w:rPr>
        <w:t>number of loans</w:t>
      </w:r>
      <w:r w:rsidR="00AA0602" w:rsidRPr="00473C61">
        <w:rPr>
          <w:rFonts w:ascii="Times New Roman" w:hAnsi="Times New Roman"/>
          <w:sz w:val="24"/>
          <w:szCs w:val="24"/>
        </w:rPr>
        <w:t xml:space="preserve"> </w:t>
      </w:r>
      <w:r w:rsidR="00875A0E" w:rsidRPr="00473C61">
        <w:rPr>
          <w:rFonts w:ascii="Times New Roman" w:hAnsi="Times New Roman"/>
          <w:sz w:val="24"/>
          <w:szCs w:val="24"/>
        </w:rPr>
        <w:t xml:space="preserve">when </w:t>
      </w:r>
      <w:r w:rsidR="00AA0602" w:rsidRPr="00473C61">
        <w:rPr>
          <w:rFonts w:ascii="Times New Roman" w:hAnsi="Times New Roman"/>
          <w:sz w:val="24"/>
          <w:szCs w:val="24"/>
        </w:rPr>
        <w:t xml:space="preserve">compared </w:t>
      </w:r>
      <w:r w:rsidR="00875A0E" w:rsidRPr="00473C61">
        <w:rPr>
          <w:rFonts w:ascii="Times New Roman" w:hAnsi="Times New Roman"/>
          <w:sz w:val="24"/>
          <w:szCs w:val="24"/>
        </w:rPr>
        <w:t xml:space="preserve">to </w:t>
      </w:r>
      <w:r w:rsidR="00AA0602" w:rsidRPr="00473C61">
        <w:rPr>
          <w:rFonts w:ascii="Times New Roman" w:hAnsi="Times New Roman"/>
          <w:sz w:val="24"/>
          <w:szCs w:val="24"/>
        </w:rPr>
        <w:t>white households</w:t>
      </w:r>
      <w:r w:rsidR="00CA4E64" w:rsidRPr="00473C61">
        <w:rPr>
          <w:rFonts w:ascii="Times New Roman" w:hAnsi="Times New Roman"/>
          <w:sz w:val="24"/>
          <w:szCs w:val="24"/>
        </w:rPr>
        <w:t xml:space="preserve">. </w:t>
      </w:r>
      <w:r w:rsidR="00AA62B7" w:rsidRPr="00473C61">
        <w:rPr>
          <w:rFonts w:ascii="Times New Roman" w:hAnsi="Times New Roman"/>
          <w:sz w:val="24"/>
          <w:szCs w:val="24"/>
        </w:rPr>
        <w:t>These f</w:t>
      </w:r>
      <w:r w:rsidR="005D5823" w:rsidRPr="00473C61">
        <w:rPr>
          <w:rFonts w:ascii="Times New Roman" w:hAnsi="Times New Roman"/>
          <w:sz w:val="24"/>
          <w:szCs w:val="24"/>
        </w:rPr>
        <w:t xml:space="preserve">indings indicate that </w:t>
      </w:r>
      <w:r w:rsidR="00D22F17" w:rsidRPr="00473C61">
        <w:rPr>
          <w:rFonts w:ascii="Times New Roman" w:hAnsi="Times New Roman"/>
          <w:sz w:val="24"/>
          <w:szCs w:val="24"/>
        </w:rPr>
        <w:t>even if</w:t>
      </w:r>
      <w:r w:rsidR="005D5823" w:rsidRPr="00473C61">
        <w:rPr>
          <w:rFonts w:ascii="Times New Roman" w:hAnsi="Times New Roman"/>
          <w:sz w:val="24"/>
          <w:szCs w:val="24"/>
        </w:rPr>
        <w:t xml:space="preserve"> non-white house</w:t>
      </w:r>
      <w:r w:rsidR="00D22F17" w:rsidRPr="00473C61">
        <w:rPr>
          <w:rFonts w:ascii="Times New Roman" w:hAnsi="Times New Roman"/>
          <w:sz w:val="24"/>
          <w:szCs w:val="24"/>
        </w:rPr>
        <w:t>holds may obtain financing</w:t>
      </w:r>
      <w:r w:rsidR="001A3BEC" w:rsidRPr="00473C61">
        <w:rPr>
          <w:rFonts w:ascii="Times New Roman" w:hAnsi="Times New Roman"/>
          <w:sz w:val="24"/>
          <w:szCs w:val="24"/>
        </w:rPr>
        <w:t>,</w:t>
      </w:r>
      <w:r w:rsidR="00D22F17" w:rsidRPr="00473C61">
        <w:rPr>
          <w:rFonts w:ascii="Times New Roman" w:hAnsi="Times New Roman"/>
          <w:sz w:val="24"/>
          <w:szCs w:val="24"/>
        </w:rPr>
        <w:t xml:space="preserve"> the intensity of borrowing is</w:t>
      </w:r>
      <w:r w:rsidR="005D5823" w:rsidRPr="00473C61">
        <w:rPr>
          <w:rFonts w:ascii="Times New Roman" w:hAnsi="Times New Roman"/>
          <w:sz w:val="24"/>
          <w:szCs w:val="24"/>
        </w:rPr>
        <w:t xml:space="preserve"> </w:t>
      </w:r>
      <w:r w:rsidR="00D22F17" w:rsidRPr="00473C61">
        <w:rPr>
          <w:rFonts w:ascii="Times New Roman" w:hAnsi="Times New Roman"/>
          <w:sz w:val="24"/>
          <w:szCs w:val="24"/>
        </w:rPr>
        <w:t>low</w:t>
      </w:r>
      <w:r w:rsidR="005D5823" w:rsidRPr="00473C61">
        <w:rPr>
          <w:rFonts w:ascii="Times New Roman" w:hAnsi="Times New Roman"/>
          <w:sz w:val="24"/>
          <w:szCs w:val="24"/>
        </w:rPr>
        <w:t xml:space="preserve"> compared to white households.</w:t>
      </w:r>
      <w:r w:rsidR="00D22F17" w:rsidRPr="00473C61">
        <w:rPr>
          <w:rFonts w:ascii="Times New Roman" w:hAnsi="Times New Roman"/>
          <w:sz w:val="24"/>
          <w:szCs w:val="24"/>
        </w:rPr>
        <w:t xml:space="preserve">  N</w:t>
      </w:r>
      <w:r w:rsidR="00517590" w:rsidRPr="00473C61">
        <w:rPr>
          <w:rFonts w:ascii="Times New Roman" w:hAnsi="Times New Roman"/>
          <w:sz w:val="24"/>
          <w:szCs w:val="24"/>
        </w:rPr>
        <w:t xml:space="preserve">on-white households </w:t>
      </w:r>
      <w:r w:rsidR="00D22F17" w:rsidRPr="00473C61">
        <w:rPr>
          <w:rFonts w:ascii="Times New Roman" w:hAnsi="Times New Roman"/>
          <w:sz w:val="24"/>
          <w:szCs w:val="24"/>
        </w:rPr>
        <w:t xml:space="preserve">seem to be </w:t>
      </w:r>
      <w:r w:rsidR="00517590" w:rsidRPr="00473C61">
        <w:rPr>
          <w:rFonts w:ascii="Times New Roman" w:hAnsi="Times New Roman"/>
          <w:sz w:val="24"/>
          <w:szCs w:val="24"/>
        </w:rPr>
        <w:t xml:space="preserve">in a weaker position </w:t>
      </w:r>
      <w:r w:rsidR="00D22F17" w:rsidRPr="00473C61">
        <w:rPr>
          <w:rFonts w:ascii="Times New Roman" w:hAnsi="Times New Roman"/>
          <w:sz w:val="24"/>
          <w:szCs w:val="24"/>
        </w:rPr>
        <w:t>to access consumer credit</w:t>
      </w:r>
      <w:r w:rsidR="00517590" w:rsidRPr="00473C61">
        <w:rPr>
          <w:rFonts w:ascii="Times New Roman" w:hAnsi="Times New Roman"/>
          <w:sz w:val="24"/>
          <w:szCs w:val="24"/>
        </w:rPr>
        <w:t>.</w:t>
      </w:r>
    </w:p>
    <w:p w:rsidR="006E6AAF" w:rsidRPr="00473C61" w:rsidRDefault="006E6AAF" w:rsidP="001D6D37">
      <w:pPr>
        <w:autoSpaceDE w:val="0"/>
        <w:autoSpaceDN w:val="0"/>
        <w:adjustRightInd w:val="0"/>
        <w:spacing w:after="0" w:line="480" w:lineRule="auto"/>
        <w:jc w:val="both"/>
        <w:rPr>
          <w:rFonts w:ascii="Times New Roman" w:hAnsi="Times New Roman"/>
          <w:sz w:val="24"/>
          <w:szCs w:val="24"/>
        </w:rPr>
      </w:pPr>
    </w:p>
    <w:p w:rsidR="00D22F17" w:rsidRPr="00473C61" w:rsidRDefault="00D22F17" w:rsidP="00D22F17">
      <w:pPr>
        <w:numPr>
          <w:ilvl w:val="1"/>
          <w:numId w:val="4"/>
        </w:numPr>
        <w:autoSpaceDE w:val="0"/>
        <w:autoSpaceDN w:val="0"/>
        <w:adjustRightInd w:val="0"/>
        <w:spacing w:after="0" w:line="480" w:lineRule="auto"/>
        <w:ind w:left="426" w:hanging="426"/>
        <w:jc w:val="both"/>
        <w:rPr>
          <w:rFonts w:ascii="Times New Roman" w:hAnsi="Times New Roman"/>
          <w:i/>
          <w:sz w:val="24"/>
          <w:szCs w:val="24"/>
        </w:rPr>
      </w:pPr>
      <w:r w:rsidRPr="00473C61">
        <w:rPr>
          <w:rFonts w:ascii="Times New Roman" w:hAnsi="Times New Roman"/>
          <w:i/>
          <w:sz w:val="24"/>
          <w:szCs w:val="24"/>
        </w:rPr>
        <w:t>Propensity Score Matching</w:t>
      </w:r>
    </w:p>
    <w:p w:rsidR="005E44D0" w:rsidRPr="00473C61" w:rsidRDefault="00540FDD" w:rsidP="00860F75">
      <w:pPr>
        <w:spacing w:after="0" w:line="480" w:lineRule="auto"/>
        <w:jc w:val="both"/>
        <w:rPr>
          <w:rFonts w:ascii="Times New Roman" w:hAnsi="Times New Roman"/>
          <w:sz w:val="24"/>
          <w:szCs w:val="24"/>
        </w:rPr>
      </w:pPr>
      <w:r w:rsidRPr="00473C61">
        <w:rPr>
          <w:rFonts w:ascii="Times New Roman" w:hAnsi="Times New Roman"/>
          <w:sz w:val="24"/>
          <w:szCs w:val="24"/>
        </w:rPr>
        <w:t>One may argue that it is often difficul</w:t>
      </w:r>
      <w:r w:rsidR="00875A0E" w:rsidRPr="00473C61">
        <w:rPr>
          <w:rFonts w:ascii="Times New Roman" w:hAnsi="Times New Roman"/>
          <w:sz w:val="24"/>
          <w:szCs w:val="24"/>
        </w:rPr>
        <w:t>t to control for the entire household and household head characteristic</w:t>
      </w:r>
      <w:r w:rsidR="00E864F1" w:rsidRPr="00473C61">
        <w:rPr>
          <w:rFonts w:ascii="Times New Roman" w:hAnsi="Times New Roman"/>
          <w:sz w:val="24"/>
          <w:szCs w:val="24"/>
        </w:rPr>
        <w:t>s</w:t>
      </w:r>
      <w:r w:rsidR="00875A0E" w:rsidRPr="00473C61">
        <w:rPr>
          <w:rFonts w:ascii="Times New Roman" w:hAnsi="Times New Roman"/>
          <w:sz w:val="24"/>
          <w:szCs w:val="24"/>
        </w:rPr>
        <w:t xml:space="preserve"> and other factors </w:t>
      </w:r>
      <w:r w:rsidR="001A3BEC" w:rsidRPr="00473C61">
        <w:rPr>
          <w:rFonts w:ascii="Times New Roman" w:hAnsi="Times New Roman"/>
          <w:sz w:val="24"/>
          <w:szCs w:val="24"/>
        </w:rPr>
        <w:t xml:space="preserve">that </w:t>
      </w:r>
      <w:r w:rsidRPr="00473C61">
        <w:rPr>
          <w:rFonts w:ascii="Times New Roman" w:hAnsi="Times New Roman"/>
          <w:sz w:val="24"/>
          <w:szCs w:val="24"/>
        </w:rPr>
        <w:t>may influence the dependent variable</w:t>
      </w:r>
      <w:r w:rsidR="001A3BEC" w:rsidRPr="00473C61">
        <w:rPr>
          <w:rFonts w:ascii="Times New Roman" w:hAnsi="Times New Roman"/>
          <w:sz w:val="24"/>
          <w:szCs w:val="24"/>
        </w:rPr>
        <w:t>.  As an alternative methodology</w:t>
      </w:r>
      <w:r w:rsidR="00875A0E" w:rsidRPr="00473C61">
        <w:rPr>
          <w:rFonts w:ascii="Times New Roman" w:hAnsi="Times New Roman"/>
          <w:sz w:val="24"/>
          <w:szCs w:val="24"/>
        </w:rPr>
        <w:t xml:space="preserve"> and to check for </w:t>
      </w:r>
      <w:r w:rsidR="005E44D0" w:rsidRPr="00473C61">
        <w:rPr>
          <w:rFonts w:ascii="Times New Roman" w:hAnsi="Times New Roman"/>
          <w:sz w:val="24"/>
          <w:szCs w:val="24"/>
        </w:rPr>
        <w:t xml:space="preserve">robustness </w:t>
      </w:r>
      <w:r w:rsidRPr="00473C61">
        <w:rPr>
          <w:rFonts w:ascii="Times New Roman" w:hAnsi="Times New Roman"/>
          <w:sz w:val="24"/>
          <w:szCs w:val="24"/>
        </w:rPr>
        <w:t xml:space="preserve">we utilize a propensity score matching approach.  This technique avails us to match the observable characteristics </w:t>
      </w:r>
      <w:r w:rsidR="00A33024" w:rsidRPr="00473C61">
        <w:rPr>
          <w:rFonts w:ascii="Times New Roman" w:hAnsi="Times New Roman"/>
          <w:sz w:val="24"/>
          <w:szCs w:val="24"/>
        </w:rPr>
        <w:t xml:space="preserve">of a </w:t>
      </w:r>
      <w:r w:rsidR="00DD1440" w:rsidRPr="00473C61">
        <w:rPr>
          <w:rFonts w:ascii="Times New Roman" w:hAnsi="Times New Roman"/>
          <w:sz w:val="24"/>
          <w:szCs w:val="24"/>
        </w:rPr>
        <w:t xml:space="preserve">white </w:t>
      </w:r>
      <w:r w:rsidR="00A33024" w:rsidRPr="00473C61">
        <w:rPr>
          <w:rFonts w:ascii="Times New Roman" w:hAnsi="Times New Roman"/>
          <w:sz w:val="24"/>
          <w:szCs w:val="24"/>
        </w:rPr>
        <w:t xml:space="preserve">household </w:t>
      </w:r>
      <w:r w:rsidR="00DD1440" w:rsidRPr="00473C61">
        <w:rPr>
          <w:rFonts w:ascii="Times New Roman" w:hAnsi="Times New Roman"/>
          <w:sz w:val="24"/>
          <w:szCs w:val="24"/>
        </w:rPr>
        <w:t>to a non-white household</w:t>
      </w:r>
      <w:r w:rsidR="00DD197D" w:rsidRPr="00473C61">
        <w:rPr>
          <w:rStyle w:val="Rimandonotaapidipagina"/>
          <w:rFonts w:ascii="Times New Roman" w:hAnsi="Times New Roman"/>
          <w:sz w:val="24"/>
          <w:szCs w:val="24"/>
        </w:rPr>
        <w:footnoteReference w:id="16"/>
      </w:r>
      <w:r w:rsidR="00DD1440" w:rsidRPr="00473C61">
        <w:rPr>
          <w:rFonts w:ascii="Times New Roman" w:hAnsi="Times New Roman"/>
          <w:sz w:val="24"/>
          <w:szCs w:val="24"/>
        </w:rPr>
        <w:t xml:space="preserve">.  </w:t>
      </w:r>
      <w:r w:rsidRPr="00473C61">
        <w:rPr>
          <w:rFonts w:ascii="Times New Roman" w:hAnsi="Times New Roman"/>
          <w:sz w:val="24"/>
          <w:szCs w:val="24"/>
        </w:rPr>
        <w:t xml:space="preserve">We can then measure the impact of </w:t>
      </w:r>
      <w:r w:rsidR="000E4D83" w:rsidRPr="00473C61">
        <w:rPr>
          <w:rFonts w:ascii="Times New Roman" w:hAnsi="Times New Roman"/>
          <w:sz w:val="24"/>
          <w:szCs w:val="24"/>
        </w:rPr>
        <w:t xml:space="preserve">racial origin on </w:t>
      </w:r>
      <w:r w:rsidR="00D96973" w:rsidRPr="00473C61">
        <w:rPr>
          <w:rFonts w:ascii="Times New Roman" w:hAnsi="Times New Roman"/>
          <w:sz w:val="24"/>
          <w:szCs w:val="24"/>
        </w:rPr>
        <w:t xml:space="preserve">having </w:t>
      </w:r>
      <w:r w:rsidR="00DD1440" w:rsidRPr="00473C61">
        <w:rPr>
          <w:rFonts w:ascii="Times New Roman" w:hAnsi="Times New Roman"/>
          <w:sz w:val="24"/>
          <w:szCs w:val="24"/>
        </w:rPr>
        <w:t>a source of financing</w:t>
      </w:r>
      <w:r w:rsidR="000E4D83" w:rsidRPr="00473C61">
        <w:rPr>
          <w:rFonts w:ascii="Times New Roman" w:hAnsi="Times New Roman"/>
          <w:sz w:val="24"/>
          <w:szCs w:val="24"/>
        </w:rPr>
        <w:t xml:space="preserve"> </w:t>
      </w:r>
      <w:r w:rsidR="00DD1440" w:rsidRPr="00473C61">
        <w:rPr>
          <w:rFonts w:ascii="Times New Roman" w:hAnsi="Times New Roman"/>
          <w:sz w:val="24"/>
          <w:szCs w:val="24"/>
        </w:rPr>
        <w:t xml:space="preserve">on </w:t>
      </w:r>
      <w:r w:rsidRPr="00473C61">
        <w:rPr>
          <w:rFonts w:ascii="Times New Roman" w:hAnsi="Times New Roman"/>
          <w:sz w:val="24"/>
          <w:szCs w:val="24"/>
        </w:rPr>
        <w:t xml:space="preserve">a matched sample. </w:t>
      </w:r>
      <w:r w:rsidR="00DD1440" w:rsidRPr="00473C61">
        <w:rPr>
          <w:rFonts w:ascii="Times New Roman" w:hAnsi="Times New Roman"/>
          <w:sz w:val="24"/>
          <w:szCs w:val="24"/>
        </w:rPr>
        <w:t xml:space="preserve"> </w:t>
      </w:r>
    </w:p>
    <w:p w:rsidR="005E44D0" w:rsidRPr="00473C61" w:rsidRDefault="005E44D0" w:rsidP="00860F75">
      <w:pPr>
        <w:spacing w:after="0" w:line="480" w:lineRule="auto"/>
        <w:jc w:val="both"/>
        <w:rPr>
          <w:rFonts w:ascii="Times New Roman" w:hAnsi="Times New Roman"/>
          <w:sz w:val="24"/>
          <w:szCs w:val="24"/>
        </w:rPr>
      </w:pPr>
    </w:p>
    <w:p w:rsidR="00DD1440" w:rsidRPr="00473C61" w:rsidRDefault="00540FDD" w:rsidP="00DD547B">
      <w:pPr>
        <w:spacing w:after="0" w:line="480" w:lineRule="auto"/>
        <w:jc w:val="both"/>
        <w:rPr>
          <w:rFonts w:ascii="Times New Roman" w:hAnsi="Times New Roman"/>
          <w:sz w:val="24"/>
          <w:szCs w:val="24"/>
        </w:rPr>
      </w:pPr>
      <w:r w:rsidRPr="00473C61">
        <w:rPr>
          <w:rFonts w:ascii="Times New Roman" w:hAnsi="Times New Roman"/>
          <w:sz w:val="24"/>
          <w:szCs w:val="24"/>
        </w:rPr>
        <w:t xml:space="preserve">We present </w:t>
      </w:r>
      <w:r w:rsidR="00260891" w:rsidRPr="00473C61">
        <w:rPr>
          <w:rFonts w:ascii="Times New Roman" w:hAnsi="Times New Roman"/>
          <w:sz w:val="24"/>
          <w:szCs w:val="24"/>
        </w:rPr>
        <w:t xml:space="preserve">the </w:t>
      </w:r>
      <w:r w:rsidR="00A207F9" w:rsidRPr="00473C61">
        <w:rPr>
          <w:rFonts w:ascii="Times New Roman" w:hAnsi="Times New Roman"/>
          <w:sz w:val="24"/>
          <w:szCs w:val="24"/>
        </w:rPr>
        <w:t xml:space="preserve">average treatment effect on the treated </w:t>
      </w:r>
      <w:r w:rsidR="005E44D0" w:rsidRPr="00473C61">
        <w:rPr>
          <w:rFonts w:ascii="Times New Roman" w:hAnsi="Times New Roman"/>
          <w:sz w:val="24"/>
          <w:szCs w:val="24"/>
        </w:rPr>
        <w:t xml:space="preserve">(ATT) </w:t>
      </w:r>
      <w:r w:rsidR="00A207F9" w:rsidRPr="00473C61">
        <w:rPr>
          <w:rFonts w:ascii="Times New Roman" w:hAnsi="Times New Roman"/>
          <w:sz w:val="24"/>
          <w:szCs w:val="24"/>
        </w:rPr>
        <w:t>for the whole sample and sub-groups</w:t>
      </w:r>
      <w:r w:rsidR="006D6DB9" w:rsidRPr="00473C61">
        <w:rPr>
          <w:rFonts w:ascii="Times New Roman" w:hAnsi="Times New Roman"/>
          <w:sz w:val="24"/>
          <w:szCs w:val="24"/>
        </w:rPr>
        <w:t xml:space="preserve"> in Table 6</w:t>
      </w:r>
      <w:r w:rsidR="00DD547B" w:rsidRPr="00473C61">
        <w:rPr>
          <w:rFonts w:ascii="Times New Roman" w:hAnsi="Times New Roman"/>
          <w:sz w:val="24"/>
          <w:szCs w:val="24"/>
        </w:rPr>
        <w:t xml:space="preserve"> </w:t>
      </w:r>
      <w:r w:rsidR="00260891" w:rsidRPr="00473C61">
        <w:rPr>
          <w:rFonts w:ascii="Times New Roman" w:hAnsi="Times New Roman"/>
          <w:sz w:val="24"/>
          <w:szCs w:val="24"/>
        </w:rPr>
        <w:t xml:space="preserve">where </w:t>
      </w:r>
      <w:r w:rsidR="00DD547B" w:rsidRPr="00473C61">
        <w:rPr>
          <w:rFonts w:ascii="Times New Roman" w:hAnsi="Times New Roman"/>
          <w:sz w:val="24"/>
          <w:szCs w:val="24"/>
        </w:rPr>
        <w:t>we match treated households with one</w:t>
      </w:r>
      <w:r w:rsidR="00BE4C01" w:rsidRPr="00473C61">
        <w:rPr>
          <w:rFonts w:ascii="Times New Roman" w:hAnsi="Times New Roman"/>
          <w:sz w:val="24"/>
          <w:szCs w:val="24"/>
        </w:rPr>
        <w:t>,</w:t>
      </w:r>
      <w:r w:rsidR="00DD547B" w:rsidRPr="00473C61">
        <w:rPr>
          <w:rFonts w:ascii="Times New Roman" w:hAnsi="Times New Roman"/>
          <w:sz w:val="24"/>
          <w:szCs w:val="24"/>
        </w:rPr>
        <w:t xml:space="preserve"> two</w:t>
      </w:r>
      <w:r w:rsidR="00073234" w:rsidRPr="00473C61">
        <w:rPr>
          <w:rFonts w:ascii="Times New Roman" w:hAnsi="Times New Roman"/>
          <w:sz w:val="24"/>
          <w:szCs w:val="24"/>
        </w:rPr>
        <w:t xml:space="preserve"> and</w:t>
      </w:r>
      <w:r w:rsidR="00BE4C01" w:rsidRPr="00473C61">
        <w:rPr>
          <w:rFonts w:ascii="Times New Roman" w:hAnsi="Times New Roman"/>
          <w:sz w:val="24"/>
          <w:szCs w:val="24"/>
        </w:rPr>
        <w:t xml:space="preserve"> four</w:t>
      </w:r>
      <w:r w:rsidR="00073234" w:rsidRPr="00473C61">
        <w:rPr>
          <w:rFonts w:ascii="Times New Roman" w:hAnsi="Times New Roman"/>
          <w:sz w:val="24"/>
          <w:szCs w:val="24"/>
        </w:rPr>
        <w:t xml:space="preserve"> </w:t>
      </w:r>
      <w:r w:rsidR="00DD547B" w:rsidRPr="00473C61">
        <w:rPr>
          <w:rFonts w:ascii="Times New Roman" w:hAnsi="Times New Roman"/>
          <w:sz w:val="24"/>
          <w:szCs w:val="24"/>
        </w:rPr>
        <w:t xml:space="preserve">corresponding non-treated households. </w:t>
      </w:r>
      <w:r w:rsidRPr="00473C61">
        <w:rPr>
          <w:rFonts w:ascii="Times New Roman" w:hAnsi="Times New Roman"/>
          <w:sz w:val="24"/>
          <w:szCs w:val="24"/>
        </w:rPr>
        <w:t xml:space="preserve">  </w:t>
      </w:r>
      <w:r w:rsidR="000A6D29" w:rsidRPr="00473C61">
        <w:rPr>
          <w:rFonts w:ascii="Times New Roman" w:hAnsi="Times New Roman"/>
          <w:sz w:val="24"/>
          <w:szCs w:val="24"/>
        </w:rPr>
        <w:t>In almost all specifications</w:t>
      </w:r>
      <w:r w:rsidR="00860F75" w:rsidRPr="00473C61">
        <w:rPr>
          <w:rFonts w:ascii="Times New Roman" w:hAnsi="Times New Roman"/>
          <w:sz w:val="24"/>
          <w:szCs w:val="24"/>
        </w:rPr>
        <w:t xml:space="preserve"> the results show that for a household, on average, the effect of being non-white increases</w:t>
      </w:r>
      <w:r w:rsidR="000A6D29" w:rsidRPr="00473C61">
        <w:rPr>
          <w:rFonts w:ascii="Times New Roman" w:hAnsi="Times New Roman"/>
          <w:sz w:val="24"/>
          <w:szCs w:val="24"/>
        </w:rPr>
        <w:t xml:space="preserve"> the likelihood of not having </w:t>
      </w:r>
      <w:r w:rsidR="00D41DD2" w:rsidRPr="00473C61">
        <w:rPr>
          <w:rFonts w:ascii="Times New Roman" w:hAnsi="Times New Roman"/>
          <w:sz w:val="24"/>
          <w:szCs w:val="24"/>
        </w:rPr>
        <w:t xml:space="preserve">any source of </w:t>
      </w:r>
      <w:r w:rsidR="000A6D29" w:rsidRPr="00473C61">
        <w:rPr>
          <w:rFonts w:ascii="Times New Roman" w:hAnsi="Times New Roman"/>
          <w:sz w:val="24"/>
          <w:szCs w:val="24"/>
        </w:rPr>
        <w:lastRenderedPageBreak/>
        <w:t>f</w:t>
      </w:r>
      <w:r w:rsidR="00B47602" w:rsidRPr="00473C61">
        <w:rPr>
          <w:rFonts w:ascii="Times New Roman" w:hAnsi="Times New Roman"/>
          <w:sz w:val="24"/>
          <w:szCs w:val="24"/>
        </w:rPr>
        <w:t>inancing</w:t>
      </w:r>
      <w:r w:rsidR="00C52074" w:rsidRPr="00473C61">
        <w:rPr>
          <w:rFonts w:ascii="Times New Roman" w:hAnsi="Times New Roman"/>
          <w:sz w:val="24"/>
          <w:szCs w:val="24"/>
        </w:rPr>
        <w:t xml:space="preserve"> (</w:t>
      </w:r>
      <w:r w:rsidR="00C52074" w:rsidRPr="00473C61">
        <w:rPr>
          <w:rFonts w:ascii="Times New Roman" w:hAnsi="Times New Roman"/>
          <w:i/>
          <w:sz w:val="24"/>
          <w:szCs w:val="24"/>
        </w:rPr>
        <w:t>NoFinancing</w:t>
      </w:r>
      <w:r w:rsidR="00C52074" w:rsidRPr="00473C61">
        <w:rPr>
          <w:rFonts w:ascii="Times New Roman" w:hAnsi="Times New Roman"/>
          <w:sz w:val="24"/>
          <w:szCs w:val="24"/>
        </w:rPr>
        <w:t>)</w:t>
      </w:r>
      <w:r w:rsidR="00B47602" w:rsidRPr="00473C61">
        <w:rPr>
          <w:rFonts w:ascii="Times New Roman" w:hAnsi="Times New Roman"/>
          <w:sz w:val="24"/>
          <w:szCs w:val="24"/>
        </w:rPr>
        <w:t>.  One exception</w:t>
      </w:r>
      <w:r w:rsidR="000A6D29" w:rsidRPr="00473C61">
        <w:rPr>
          <w:rFonts w:ascii="Times New Roman" w:hAnsi="Times New Roman"/>
          <w:sz w:val="24"/>
          <w:szCs w:val="24"/>
        </w:rPr>
        <w:t xml:space="preserve"> is the income l</w:t>
      </w:r>
      <w:r w:rsidR="006D269A" w:rsidRPr="00473C61">
        <w:rPr>
          <w:rFonts w:ascii="Times New Roman" w:hAnsi="Times New Roman"/>
          <w:sz w:val="24"/>
          <w:szCs w:val="24"/>
        </w:rPr>
        <w:t xml:space="preserve">evel where we do not report a </w:t>
      </w:r>
      <w:r w:rsidR="000A6D29" w:rsidRPr="00473C61">
        <w:rPr>
          <w:rFonts w:ascii="Times New Roman" w:hAnsi="Times New Roman"/>
          <w:sz w:val="24"/>
          <w:szCs w:val="24"/>
        </w:rPr>
        <w:t xml:space="preserve">statistically significant difference </w:t>
      </w:r>
      <w:r w:rsidR="00D41DD2" w:rsidRPr="00473C61">
        <w:rPr>
          <w:rFonts w:ascii="Times New Roman" w:hAnsi="Times New Roman"/>
          <w:sz w:val="24"/>
          <w:szCs w:val="24"/>
        </w:rPr>
        <w:t>between the treated and non-treated</w:t>
      </w:r>
      <w:r w:rsidR="005E44D0" w:rsidRPr="00473C61">
        <w:rPr>
          <w:rFonts w:ascii="Times New Roman" w:hAnsi="Times New Roman"/>
          <w:sz w:val="24"/>
          <w:szCs w:val="24"/>
        </w:rPr>
        <w:t xml:space="preserve"> for the sub-group </w:t>
      </w:r>
      <w:r w:rsidR="00B47602" w:rsidRPr="00473C61">
        <w:rPr>
          <w:rFonts w:ascii="Times New Roman" w:hAnsi="Times New Roman"/>
          <w:sz w:val="24"/>
          <w:szCs w:val="24"/>
        </w:rPr>
        <w:t>above median income level</w:t>
      </w:r>
      <w:r w:rsidR="005E027D" w:rsidRPr="00473C61">
        <w:rPr>
          <w:rStyle w:val="Rimandonotaapidipagina"/>
          <w:rFonts w:ascii="Times New Roman" w:hAnsi="Times New Roman"/>
          <w:sz w:val="24"/>
          <w:szCs w:val="24"/>
        </w:rPr>
        <w:footnoteReference w:id="17"/>
      </w:r>
      <w:r w:rsidR="00D41DD2" w:rsidRPr="00473C61">
        <w:rPr>
          <w:rFonts w:ascii="Times New Roman" w:hAnsi="Times New Roman"/>
          <w:sz w:val="24"/>
          <w:szCs w:val="24"/>
        </w:rPr>
        <w:t xml:space="preserve">.  </w:t>
      </w:r>
      <w:r w:rsidR="00351A5C" w:rsidRPr="00473C61">
        <w:rPr>
          <w:rFonts w:ascii="Times New Roman" w:hAnsi="Times New Roman"/>
          <w:sz w:val="24"/>
          <w:szCs w:val="24"/>
        </w:rPr>
        <w:t xml:space="preserve">We also find that, on average, the effect of being non-white reduces the </w:t>
      </w:r>
      <w:r w:rsidR="00351A5C" w:rsidRPr="00473C61">
        <w:rPr>
          <w:rFonts w:ascii="Times New Roman" w:hAnsi="Times New Roman"/>
          <w:i/>
          <w:sz w:val="24"/>
          <w:szCs w:val="24"/>
        </w:rPr>
        <w:t>number of loans</w:t>
      </w:r>
      <w:r w:rsidR="00351A5C" w:rsidRPr="00473C61">
        <w:rPr>
          <w:rFonts w:ascii="Times New Roman" w:hAnsi="Times New Roman"/>
          <w:sz w:val="24"/>
          <w:szCs w:val="24"/>
        </w:rPr>
        <w:t xml:space="preserve"> borrowed by a household. Results</w:t>
      </w:r>
      <w:r w:rsidR="00D41DD2" w:rsidRPr="00473C61">
        <w:rPr>
          <w:rFonts w:ascii="Times New Roman" w:hAnsi="Times New Roman"/>
          <w:sz w:val="24"/>
          <w:szCs w:val="24"/>
        </w:rPr>
        <w:t xml:space="preserve"> are more consistent with the two </w:t>
      </w:r>
      <w:r w:rsidR="00073234" w:rsidRPr="00473C61">
        <w:rPr>
          <w:rFonts w:ascii="Times New Roman" w:hAnsi="Times New Roman"/>
          <w:sz w:val="24"/>
          <w:szCs w:val="24"/>
        </w:rPr>
        <w:t xml:space="preserve">and four </w:t>
      </w:r>
      <w:r w:rsidR="00D41DD2" w:rsidRPr="00473C61">
        <w:rPr>
          <w:rFonts w:ascii="Times New Roman" w:hAnsi="Times New Roman"/>
          <w:sz w:val="24"/>
          <w:szCs w:val="24"/>
        </w:rPr>
        <w:t xml:space="preserve">matched controls where </w:t>
      </w:r>
      <w:r w:rsidR="00B47602" w:rsidRPr="00473C61">
        <w:rPr>
          <w:rFonts w:ascii="Times New Roman" w:hAnsi="Times New Roman"/>
          <w:sz w:val="24"/>
          <w:szCs w:val="24"/>
        </w:rPr>
        <w:t xml:space="preserve">we </w:t>
      </w:r>
      <w:r w:rsidR="00D41DD2" w:rsidRPr="00473C61">
        <w:rPr>
          <w:rFonts w:ascii="Times New Roman" w:hAnsi="Times New Roman"/>
          <w:sz w:val="24"/>
          <w:szCs w:val="24"/>
        </w:rPr>
        <w:t xml:space="preserve">report </w:t>
      </w:r>
      <w:r w:rsidR="00B47602" w:rsidRPr="00473C61">
        <w:rPr>
          <w:rFonts w:ascii="Times New Roman" w:hAnsi="Times New Roman"/>
          <w:sz w:val="24"/>
          <w:szCs w:val="24"/>
        </w:rPr>
        <w:t xml:space="preserve">statistically </w:t>
      </w:r>
      <w:r w:rsidR="001D26E0" w:rsidRPr="00473C61">
        <w:rPr>
          <w:rFonts w:ascii="Times New Roman" w:hAnsi="Times New Roman"/>
          <w:sz w:val="24"/>
          <w:szCs w:val="24"/>
        </w:rPr>
        <w:t xml:space="preserve">significant average treatment effects for </w:t>
      </w:r>
      <w:r w:rsidR="001D26E0" w:rsidRPr="00473C61">
        <w:rPr>
          <w:rFonts w:ascii="Times New Roman" w:hAnsi="Times New Roman"/>
          <w:i/>
          <w:sz w:val="24"/>
          <w:szCs w:val="24"/>
        </w:rPr>
        <w:t>NoLoan</w:t>
      </w:r>
      <w:r w:rsidR="001D26E0" w:rsidRPr="00473C61">
        <w:rPr>
          <w:rFonts w:ascii="Times New Roman" w:hAnsi="Times New Roman"/>
          <w:sz w:val="24"/>
          <w:szCs w:val="24"/>
        </w:rPr>
        <w:t xml:space="preserve"> and </w:t>
      </w:r>
      <w:r w:rsidR="001D26E0" w:rsidRPr="00473C61">
        <w:rPr>
          <w:rFonts w:ascii="Times New Roman" w:hAnsi="Times New Roman"/>
          <w:i/>
          <w:sz w:val="24"/>
          <w:szCs w:val="24"/>
        </w:rPr>
        <w:t>NoCreditcard</w:t>
      </w:r>
      <w:r w:rsidR="00875A0E" w:rsidRPr="00473C61">
        <w:rPr>
          <w:rFonts w:ascii="Times New Roman" w:hAnsi="Times New Roman"/>
          <w:sz w:val="24"/>
          <w:szCs w:val="24"/>
        </w:rPr>
        <w:t xml:space="preserve"> almost in</w:t>
      </w:r>
      <w:r w:rsidR="00351A5C" w:rsidRPr="00473C61">
        <w:rPr>
          <w:rFonts w:ascii="Times New Roman" w:hAnsi="Times New Roman"/>
          <w:sz w:val="24"/>
          <w:szCs w:val="24"/>
        </w:rPr>
        <w:t xml:space="preserve"> all specifications</w:t>
      </w:r>
      <w:r w:rsidR="00B47602" w:rsidRPr="00473C61">
        <w:rPr>
          <w:rFonts w:ascii="Times New Roman" w:hAnsi="Times New Roman"/>
          <w:sz w:val="24"/>
          <w:szCs w:val="24"/>
        </w:rPr>
        <w:t xml:space="preserve"> and sub-samples. </w:t>
      </w:r>
      <w:r w:rsidR="001D26E0" w:rsidRPr="00473C61">
        <w:rPr>
          <w:rFonts w:ascii="Times New Roman" w:hAnsi="Times New Roman"/>
          <w:sz w:val="24"/>
          <w:szCs w:val="24"/>
        </w:rPr>
        <w:t xml:space="preserve"> </w:t>
      </w:r>
      <w:r w:rsidR="005E44D0" w:rsidRPr="00473C61">
        <w:rPr>
          <w:rFonts w:ascii="Times New Roman" w:hAnsi="Times New Roman"/>
          <w:sz w:val="24"/>
          <w:szCs w:val="24"/>
        </w:rPr>
        <w:t xml:space="preserve">For </w:t>
      </w:r>
      <w:r w:rsidR="00BE4C01" w:rsidRPr="00473C61">
        <w:rPr>
          <w:rFonts w:ascii="Times New Roman" w:hAnsi="Times New Roman"/>
          <w:sz w:val="24"/>
          <w:szCs w:val="24"/>
        </w:rPr>
        <w:t xml:space="preserve">results where </w:t>
      </w:r>
      <w:r w:rsidR="005E44D0" w:rsidRPr="00473C61">
        <w:rPr>
          <w:rFonts w:ascii="Times New Roman" w:hAnsi="Times New Roman"/>
          <w:sz w:val="24"/>
          <w:szCs w:val="24"/>
        </w:rPr>
        <w:t xml:space="preserve">one </w:t>
      </w:r>
      <w:r w:rsidR="00BE4C01" w:rsidRPr="00473C61">
        <w:rPr>
          <w:rFonts w:ascii="Times New Roman" w:hAnsi="Times New Roman"/>
          <w:sz w:val="24"/>
          <w:szCs w:val="24"/>
        </w:rPr>
        <w:t>non-treated c</w:t>
      </w:r>
      <w:r w:rsidR="005E44D0" w:rsidRPr="00473C61">
        <w:rPr>
          <w:rFonts w:ascii="Times New Roman" w:hAnsi="Times New Roman"/>
          <w:sz w:val="24"/>
          <w:szCs w:val="24"/>
        </w:rPr>
        <w:t xml:space="preserve">ontrol </w:t>
      </w:r>
      <w:r w:rsidR="00BE4C01" w:rsidRPr="00473C61">
        <w:rPr>
          <w:rFonts w:ascii="Times New Roman" w:hAnsi="Times New Roman"/>
          <w:sz w:val="24"/>
          <w:szCs w:val="24"/>
        </w:rPr>
        <w:t>is used</w:t>
      </w:r>
      <w:r w:rsidR="006D269A" w:rsidRPr="00473C61">
        <w:rPr>
          <w:rFonts w:ascii="Times New Roman" w:hAnsi="Times New Roman"/>
          <w:sz w:val="24"/>
          <w:szCs w:val="24"/>
        </w:rPr>
        <w:t>,</w:t>
      </w:r>
      <w:r w:rsidR="00BE4C01" w:rsidRPr="00473C61">
        <w:rPr>
          <w:rFonts w:ascii="Times New Roman" w:hAnsi="Times New Roman"/>
          <w:sz w:val="24"/>
          <w:szCs w:val="24"/>
        </w:rPr>
        <w:t xml:space="preserve"> </w:t>
      </w:r>
      <w:r w:rsidR="005E44D0" w:rsidRPr="00473C61">
        <w:rPr>
          <w:rFonts w:ascii="Times New Roman" w:hAnsi="Times New Roman"/>
          <w:sz w:val="24"/>
          <w:szCs w:val="24"/>
        </w:rPr>
        <w:t xml:space="preserve">we report similar findings as above across different models; however, the results are not consistently significant.  </w:t>
      </w:r>
      <w:r w:rsidR="00ED2B35" w:rsidRPr="00473C61">
        <w:rPr>
          <w:rFonts w:ascii="Times New Roman" w:hAnsi="Times New Roman"/>
          <w:sz w:val="24"/>
          <w:szCs w:val="24"/>
        </w:rPr>
        <w:t xml:space="preserve">For example, for </w:t>
      </w:r>
      <w:r w:rsidR="00ED2B35" w:rsidRPr="00473C61">
        <w:rPr>
          <w:rFonts w:ascii="Times New Roman" w:hAnsi="Times New Roman"/>
          <w:i/>
          <w:sz w:val="24"/>
          <w:szCs w:val="24"/>
        </w:rPr>
        <w:t xml:space="preserve">NoCreditcard </w:t>
      </w:r>
      <w:r w:rsidR="00ED2B35" w:rsidRPr="00473C61">
        <w:rPr>
          <w:rFonts w:ascii="Times New Roman" w:hAnsi="Times New Roman"/>
          <w:sz w:val="24"/>
          <w:szCs w:val="24"/>
        </w:rPr>
        <w:t xml:space="preserve">we report insignificant coefficients for the first four models. </w:t>
      </w:r>
      <w:r w:rsidR="00C52074" w:rsidRPr="00473C61">
        <w:rPr>
          <w:rFonts w:ascii="Times New Roman" w:hAnsi="Times New Roman"/>
          <w:sz w:val="24"/>
          <w:szCs w:val="24"/>
        </w:rPr>
        <w:t xml:space="preserve">  </w:t>
      </w:r>
    </w:p>
    <w:p w:rsidR="00005B87" w:rsidRPr="00473C61" w:rsidRDefault="00005B87" w:rsidP="00860F75">
      <w:pPr>
        <w:spacing w:after="0" w:line="480" w:lineRule="auto"/>
        <w:jc w:val="both"/>
        <w:rPr>
          <w:rFonts w:ascii="Times New Roman" w:hAnsi="Times New Roman"/>
          <w:sz w:val="24"/>
          <w:szCs w:val="24"/>
        </w:rPr>
      </w:pPr>
    </w:p>
    <w:p w:rsidR="008E350D" w:rsidRPr="00473C61" w:rsidRDefault="00005B87" w:rsidP="008E350D">
      <w:pPr>
        <w:spacing w:after="0" w:line="480" w:lineRule="auto"/>
        <w:jc w:val="both"/>
        <w:rPr>
          <w:rFonts w:ascii="Times New Roman" w:hAnsi="Times New Roman"/>
          <w:sz w:val="24"/>
          <w:szCs w:val="24"/>
          <w:lang w:val="en-GB" w:eastAsia="en-GB"/>
        </w:rPr>
      </w:pPr>
      <w:r w:rsidRPr="00473C61">
        <w:rPr>
          <w:rFonts w:ascii="Times New Roman" w:hAnsi="Times New Roman"/>
          <w:sz w:val="24"/>
          <w:szCs w:val="24"/>
        </w:rPr>
        <w:t xml:space="preserve">Overall, </w:t>
      </w:r>
      <w:r w:rsidR="00185ECD" w:rsidRPr="00473C61">
        <w:rPr>
          <w:rFonts w:ascii="Times New Roman" w:hAnsi="Times New Roman"/>
          <w:sz w:val="24"/>
          <w:szCs w:val="24"/>
        </w:rPr>
        <w:t xml:space="preserve">our </w:t>
      </w:r>
      <w:r w:rsidRPr="00473C61">
        <w:rPr>
          <w:rFonts w:ascii="Times New Roman" w:hAnsi="Times New Roman"/>
          <w:sz w:val="24"/>
          <w:szCs w:val="24"/>
        </w:rPr>
        <w:t xml:space="preserve">results from propensity score matching </w:t>
      </w:r>
      <w:r w:rsidR="00351A5C" w:rsidRPr="00473C61">
        <w:rPr>
          <w:rFonts w:ascii="Times New Roman" w:hAnsi="Times New Roman"/>
          <w:sz w:val="24"/>
          <w:szCs w:val="24"/>
        </w:rPr>
        <w:t xml:space="preserve">confirms </w:t>
      </w:r>
      <w:r w:rsidR="008C4C4D" w:rsidRPr="00473C61">
        <w:rPr>
          <w:rFonts w:ascii="Times New Roman" w:hAnsi="Times New Roman"/>
          <w:sz w:val="24"/>
          <w:szCs w:val="24"/>
        </w:rPr>
        <w:t>our main findings reported in the treatment effects model</w:t>
      </w:r>
      <w:r w:rsidR="001A3BEC" w:rsidRPr="00473C61">
        <w:rPr>
          <w:rFonts w:ascii="Times New Roman" w:hAnsi="Times New Roman"/>
          <w:sz w:val="24"/>
          <w:szCs w:val="24"/>
        </w:rPr>
        <w:t xml:space="preserve"> section</w:t>
      </w:r>
      <w:r w:rsidR="008C4C4D" w:rsidRPr="00473C61">
        <w:rPr>
          <w:rFonts w:ascii="Times New Roman" w:hAnsi="Times New Roman"/>
          <w:sz w:val="24"/>
          <w:szCs w:val="24"/>
        </w:rPr>
        <w:t xml:space="preserve">.  Primarily, we find that </w:t>
      </w:r>
      <w:r w:rsidR="008C4C4D" w:rsidRPr="00473C61">
        <w:rPr>
          <w:rFonts w:ascii="Times New Roman" w:hAnsi="Times New Roman"/>
          <w:i/>
          <w:sz w:val="24"/>
          <w:szCs w:val="24"/>
        </w:rPr>
        <w:t>non-white</w:t>
      </w:r>
      <w:r w:rsidR="008C4C4D" w:rsidRPr="00473C61">
        <w:rPr>
          <w:rFonts w:ascii="Times New Roman" w:hAnsi="Times New Roman"/>
          <w:sz w:val="24"/>
          <w:szCs w:val="24"/>
        </w:rPr>
        <w:t xml:space="preserve"> households are less likely to have financing compared to white households.  </w:t>
      </w:r>
      <w:r w:rsidR="006D269A" w:rsidRPr="00473C61">
        <w:rPr>
          <w:rFonts w:ascii="Times New Roman" w:hAnsi="Times New Roman"/>
          <w:sz w:val="24"/>
          <w:szCs w:val="24"/>
        </w:rPr>
        <w:t xml:space="preserve">They also have </w:t>
      </w:r>
      <w:r w:rsidR="00260891" w:rsidRPr="00473C61">
        <w:rPr>
          <w:rFonts w:ascii="Times New Roman" w:hAnsi="Times New Roman"/>
          <w:sz w:val="24"/>
          <w:szCs w:val="24"/>
        </w:rPr>
        <w:t>a lower</w:t>
      </w:r>
      <w:r w:rsidR="006D269A" w:rsidRPr="00473C61">
        <w:rPr>
          <w:rFonts w:ascii="Times New Roman" w:hAnsi="Times New Roman"/>
          <w:sz w:val="24"/>
          <w:szCs w:val="24"/>
        </w:rPr>
        <w:t xml:space="preserve"> number of loans than white households. However, we report that these</w:t>
      </w:r>
      <w:r w:rsidR="008C4C4D" w:rsidRPr="00473C61">
        <w:rPr>
          <w:rFonts w:ascii="Times New Roman" w:hAnsi="Times New Roman"/>
          <w:sz w:val="24"/>
          <w:szCs w:val="24"/>
        </w:rPr>
        <w:t xml:space="preserve"> affect</w:t>
      </w:r>
      <w:r w:rsidR="006D269A" w:rsidRPr="00473C61">
        <w:rPr>
          <w:rFonts w:ascii="Times New Roman" w:hAnsi="Times New Roman"/>
          <w:sz w:val="24"/>
          <w:szCs w:val="24"/>
        </w:rPr>
        <w:t>s</w:t>
      </w:r>
      <w:r w:rsidR="008C4C4D" w:rsidRPr="00473C61">
        <w:rPr>
          <w:rFonts w:ascii="Times New Roman" w:hAnsi="Times New Roman"/>
          <w:sz w:val="24"/>
          <w:szCs w:val="24"/>
        </w:rPr>
        <w:t xml:space="preserve"> </w:t>
      </w:r>
      <w:r w:rsidR="00260891" w:rsidRPr="00473C61">
        <w:rPr>
          <w:rFonts w:ascii="Times New Roman" w:hAnsi="Times New Roman"/>
          <w:sz w:val="24"/>
          <w:szCs w:val="24"/>
        </w:rPr>
        <w:t xml:space="preserve">are </w:t>
      </w:r>
      <w:r w:rsidR="008C4C4D" w:rsidRPr="00473C61">
        <w:rPr>
          <w:rFonts w:ascii="Times New Roman" w:hAnsi="Times New Roman"/>
          <w:sz w:val="24"/>
          <w:szCs w:val="24"/>
        </w:rPr>
        <w:t>not observed for non-white household</w:t>
      </w:r>
      <w:r w:rsidR="004A4515" w:rsidRPr="00473C61">
        <w:rPr>
          <w:rFonts w:ascii="Times New Roman" w:hAnsi="Times New Roman"/>
          <w:sz w:val="24"/>
          <w:szCs w:val="24"/>
        </w:rPr>
        <w:t>s at higher income levels.</w:t>
      </w:r>
      <w:r w:rsidR="00962F59" w:rsidRPr="00473C61">
        <w:rPr>
          <w:rFonts w:ascii="Times New Roman" w:hAnsi="Times New Roman"/>
          <w:sz w:val="24"/>
          <w:szCs w:val="24"/>
        </w:rPr>
        <w:t xml:space="preserve">  </w:t>
      </w:r>
    </w:p>
    <w:p w:rsidR="008E350D" w:rsidRPr="00473C61" w:rsidRDefault="008E350D" w:rsidP="002A7DDE">
      <w:pPr>
        <w:spacing w:after="0" w:line="480" w:lineRule="auto"/>
        <w:jc w:val="both"/>
        <w:rPr>
          <w:rFonts w:ascii="Times New Roman" w:hAnsi="Times New Roman"/>
          <w:sz w:val="24"/>
          <w:szCs w:val="24"/>
          <w:lang w:val="en-GB"/>
        </w:rPr>
      </w:pPr>
    </w:p>
    <w:p w:rsidR="00D6395A" w:rsidRPr="00473C61" w:rsidRDefault="00D6395A" w:rsidP="00D6395A">
      <w:pPr>
        <w:numPr>
          <w:ilvl w:val="1"/>
          <w:numId w:val="4"/>
        </w:numPr>
        <w:autoSpaceDE w:val="0"/>
        <w:autoSpaceDN w:val="0"/>
        <w:adjustRightInd w:val="0"/>
        <w:spacing w:after="0" w:line="480" w:lineRule="auto"/>
        <w:ind w:left="426" w:hanging="426"/>
        <w:jc w:val="both"/>
        <w:rPr>
          <w:rFonts w:ascii="Times New Roman" w:hAnsi="Times New Roman"/>
          <w:i/>
          <w:sz w:val="24"/>
          <w:szCs w:val="24"/>
        </w:rPr>
      </w:pPr>
      <w:r w:rsidRPr="00473C61">
        <w:rPr>
          <w:rFonts w:ascii="Times New Roman" w:hAnsi="Times New Roman"/>
          <w:i/>
          <w:sz w:val="24"/>
          <w:szCs w:val="24"/>
        </w:rPr>
        <w:t>Limitation</w:t>
      </w:r>
      <w:r w:rsidR="009727FF" w:rsidRPr="00473C61">
        <w:rPr>
          <w:rFonts w:ascii="Times New Roman" w:hAnsi="Times New Roman"/>
          <w:i/>
          <w:sz w:val="24"/>
          <w:szCs w:val="24"/>
        </w:rPr>
        <w:t>s</w:t>
      </w:r>
      <w:r w:rsidRPr="00473C61">
        <w:rPr>
          <w:rFonts w:ascii="Times New Roman" w:hAnsi="Times New Roman"/>
          <w:i/>
          <w:sz w:val="24"/>
          <w:szCs w:val="24"/>
        </w:rPr>
        <w:t xml:space="preserve"> of the study</w:t>
      </w:r>
    </w:p>
    <w:p w:rsidR="00EC309A" w:rsidRPr="00473C61" w:rsidRDefault="00843CFE" w:rsidP="001D6D37">
      <w:pPr>
        <w:autoSpaceDE w:val="0"/>
        <w:autoSpaceDN w:val="0"/>
        <w:adjustRightInd w:val="0"/>
        <w:spacing w:after="0" w:line="480" w:lineRule="auto"/>
        <w:jc w:val="both"/>
        <w:rPr>
          <w:rFonts w:ascii="Times New Roman" w:eastAsiaTheme="minorEastAsia" w:hAnsi="Times New Roman"/>
          <w:sz w:val="24"/>
          <w:szCs w:val="24"/>
          <w:lang w:val="en-GB" w:eastAsia="en-GB"/>
        </w:rPr>
      </w:pPr>
      <w:r w:rsidRPr="00473C61">
        <w:rPr>
          <w:rFonts w:ascii="Times New Roman" w:hAnsi="Times New Roman"/>
          <w:sz w:val="24"/>
          <w:szCs w:val="24"/>
        </w:rPr>
        <w:t xml:space="preserve">Overall, our results suggest a </w:t>
      </w:r>
      <w:r w:rsidR="00BE4C01" w:rsidRPr="00473C61">
        <w:rPr>
          <w:rFonts w:ascii="Times New Roman" w:hAnsi="Times New Roman"/>
          <w:sz w:val="24"/>
          <w:szCs w:val="24"/>
        </w:rPr>
        <w:t>degree of credit exclusion faced by non-white households</w:t>
      </w:r>
      <w:r w:rsidR="00EF6E64" w:rsidRPr="00473C61">
        <w:rPr>
          <w:rFonts w:ascii="Times New Roman" w:hAnsi="Times New Roman"/>
          <w:sz w:val="24"/>
          <w:szCs w:val="24"/>
        </w:rPr>
        <w:t xml:space="preserve"> in</w:t>
      </w:r>
      <w:r w:rsidRPr="00473C61">
        <w:rPr>
          <w:rFonts w:ascii="Times New Roman" w:hAnsi="Times New Roman"/>
          <w:sz w:val="24"/>
          <w:szCs w:val="24"/>
        </w:rPr>
        <w:t xml:space="preserve"> the UK.</w:t>
      </w:r>
      <w:r w:rsidR="00923DEA" w:rsidRPr="00473C61">
        <w:rPr>
          <w:rFonts w:ascii="Times New Roman" w:hAnsi="Times New Roman"/>
          <w:sz w:val="24"/>
          <w:szCs w:val="24"/>
        </w:rPr>
        <w:t xml:space="preserve"> </w:t>
      </w:r>
      <w:r w:rsidRPr="00473C61">
        <w:rPr>
          <w:rFonts w:ascii="Times New Roman" w:hAnsi="Times New Roman"/>
          <w:sz w:val="24"/>
          <w:szCs w:val="24"/>
        </w:rPr>
        <w:t>However, we need to bear in mind the (</w:t>
      </w:r>
      <w:r w:rsidR="00015100" w:rsidRPr="00473C61">
        <w:rPr>
          <w:rFonts w:ascii="Times New Roman" w:hAnsi="Times New Roman"/>
          <w:sz w:val="24"/>
          <w:szCs w:val="24"/>
        </w:rPr>
        <w:t xml:space="preserve">typical) limitations of the </w:t>
      </w:r>
      <w:r w:rsidRPr="00473C61">
        <w:rPr>
          <w:rFonts w:ascii="Times New Roman" w:hAnsi="Times New Roman"/>
          <w:sz w:val="24"/>
          <w:szCs w:val="24"/>
        </w:rPr>
        <w:t>above analysis. While doing our best to control for a wide range of factors that explain access to credit services</w:t>
      </w:r>
      <w:r w:rsidR="00343067" w:rsidRPr="00473C61">
        <w:rPr>
          <w:rFonts w:ascii="Times New Roman" w:hAnsi="Times New Roman"/>
          <w:sz w:val="24"/>
          <w:szCs w:val="24"/>
        </w:rPr>
        <w:t>,</w:t>
      </w:r>
      <w:r w:rsidRPr="00473C61">
        <w:rPr>
          <w:rFonts w:ascii="Times New Roman" w:hAnsi="Times New Roman"/>
          <w:sz w:val="24"/>
          <w:szCs w:val="24"/>
        </w:rPr>
        <w:t xml:space="preserve"> it could be that our analysis is </w:t>
      </w:r>
      <w:r w:rsidRPr="00473C61">
        <w:rPr>
          <w:rFonts w:ascii="Times New Roman" w:eastAsiaTheme="minorEastAsia" w:hAnsi="Times New Roman"/>
          <w:sz w:val="24"/>
          <w:szCs w:val="24"/>
          <w:lang w:val="en-GB" w:eastAsia="en-GB"/>
        </w:rPr>
        <w:t xml:space="preserve">subject to the criticism of omitted variable bias (Berkovec </w:t>
      </w:r>
      <w:r w:rsidR="00002409" w:rsidRPr="00473C61">
        <w:rPr>
          <w:rFonts w:ascii="Times New Roman" w:eastAsiaTheme="minorEastAsia" w:hAnsi="Times New Roman"/>
          <w:sz w:val="24"/>
          <w:szCs w:val="24"/>
          <w:lang w:val="en-GB" w:eastAsia="en-GB"/>
        </w:rPr>
        <w:t>et al.</w:t>
      </w:r>
      <w:r w:rsidRPr="00473C61">
        <w:rPr>
          <w:rFonts w:ascii="Times New Roman" w:eastAsiaTheme="minorEastAsia" w:hAnsi="Times New Roman"/>
          <w:sz w:val="24"/>
          <w:szCs w:val="24"/>
          <w:lang w:val="en-GB" w:eastAsia="en-GB"/>
        </w:rPr>
        <w:t xml:space="preserve">, 1998; Pager and Shepherd, 2008; Han, 2011). This is because a large number of social, economic, and cultural differences may be correlated with racial differences and their omission could bias our results. Data sources used to investigate discrimination may also </w:t>
      </w:r>
      <w:r w:rsidRPr="00473C61">
        <w:rPr>
          <w:rFonts w:ascii="Times New Roman" w:eastAsiaTheme="minorEastAsia" w:hAnsi="Times New Roman"/>
          <w:sz w:val="24"/>
          <w:szCs w:val="24"/>
          <w:lang w:val="en-GB" w:eastAsia="en-GB"/>
        </w:rPr>
        <w:lastRenderedPageBreak/>
        <w:t xml:space="preserve">have their limitations (Horne 1994) and there can be potential endogeneity issues (Ross and Yinger, 1999) that statistical </w:t>
      </w:r>
      <w:r w:rsidR="00015100" w:rsidRPr="00473C61">
        <w:rPr>
          <w:rFonts w:ascii="Times New Roman" w:eastAsiaTheme="minorEastAsia" w:hAnsi="Times New Roman"/>
          <w:sz w:val="24"/>
          <w:szCs w:val="24"/>
          <w:lang w:val="en-GB" w:eastAsia="en-GB"/>
        </w:rPr>
        <w:t>approaches</w:t>
      </w:r>
      <w:r w:rsidRPr="00473C61">
        <w:rPr>
          <w:rFonts w:ascii="Times New Roman" w:eastAsiaTheme="minorEastAsia" w:hAnsi="Times New Roman"/>
          <w:sz w:val="24"/>
          <w:szCs w:val="24"/>
          <w:lang w:val="en-GB" w:eastAsia="en-GB"/>
        </w:rPr>
        <w:t xml:space="preserve"> </w:t>
      </w:r>
      <w:r w:rsidR="00260891" w:rsidRPr="00473C61">
        <w:rPr>
          <w:rFonts w:ascii="Times New Roman" w:eastAsiaTheme="minorEastAsia" w:hAnsi="Times New Roman"/>
          <w:sz w:val="24"/>
          <w:szCs w:val="24"/>
          <w:lang w:val="en-GB" w:eastAsia="en-GB"/>
        </w:rPr>
        <w:t>(</w:t>
      </w:r>
      <w:r w:rsidR="00185ECD" w:rsidRPr="00473C61">
        <w:rPr>
          <w:rFonts w:ascii="Times New Roman" w:eastAsiaTheme="minorEastAsia" w:hAnsi="Times New Roman"/>
          <w:sz w:val="24"/>
          <w:szCs w:val="24"/>
          <w:lang w:val="en-GB" w:eastAsia="en-GB"/>
        </w:rPr>
        <w:t>including</w:t>
      </w:r>
      <w:r w:rsidR="00260891" w:rsidRPr="00473C61">
        <w:rPr>
          <w:rFonts w:ascii="Times New Roman" w:eastAsiaTheme="minorEastAsia" w:hAnsi="Times New Roman"/>
          <w:sz w:val="24"/>
          <w:szCs w:val="24"/>
          <w:lang w:val="en-GB" w:eastAsia="en-GB"/>
        </w:rPr>
        <w:t xml:space="preserve"> propensity score matching) </w:t>
      </w:r>
      <w:r w:rsidRPr="00473C61">
        <w:rPr>
          <w:rFonts w:ascii="Times New Roman" w:eastAsiaTheme="minorEastAsia" w:hAnsi="Times New Roman"/>
          <w:sz w:val="24"/>
          <w:szCs w:val="24"/>
          <w:lang w:val="en-GB" w:eastAsia="en-GB"/>
        </w:rPr>
        <w:t>c</w:t>
      </w:r>
      <w:r w:rsidR="00923DEA" w:rsidRPr="00473C61">
        <w:rPr>
          <w:rFonts w:ascii="Times New Roman" w:eastAsiaTheme="minorEastAsia" w:hAnsi="Times New Roman"/>
          <w:sz w:val="24"/>
          <w:szCs w:val="24"/>
          <w:lang w:val="en-GB" w:eastAsia="en-GB"/>
        </w:rPr>
        <w:t>a</w:t>
      </w:r>
      <w:r w:rsidRPr="00473C61">
        <w:rPr>
          <w:rFonts w:ascii="Times New Roman" w:eastAsiaTheme="minorEastAsia" w:hAnsi="Times New Roman"/>
          <w:sz w:val="24"/>
          <w:szCs w:val="24"/>
          <w:lang w:val="en-GB" w:eastAsia="en-GB"/>
        </w:rPr>
        <w:t xml:space="preserve">nnot entirely eradicate. We cannot claim that the </w:t>
      </w:r>
      <w:r w:rsidR="00015100" w:rsidRPr="00473C61">
        <w:rPr>
          <w:rFonts w:ascii="Times New Roman" w:eastAsiaTheme="minorEastAsia" w:hAnsi="Times New Roman"/>
          <w:sz w:val="24"/>
          <w:szCs w:val="24"/>
          <w:lang w:val="en-GB" w:eastAsia="en-GB"/>
        </w:rPr>
        <w:t>modelling</w:t>
      </w:r>
      <w:r w:rsidRPr="00473C61">
        <w:rPr>
          <w:rFonts w:ascii="Times New Roman" w:eastAsiaTheme="minorEastAsia" w:hAnsi="Times New Roman"/>
          <w:sz w:val="24"/>
          <w:szCs w:val="24"/>
          <w:lang w:val="en-GB" w:eastAsia="en-GB"/>
        </w:rPr>
        <w:t xml:space="preserve"> approach presented in this paper eliminates all such biases although we argue that potential for such bias are minimised due to wide array of </w:t>
      </w:r>
      <w:r w:rsidR="005B2B1A" w:rsidRPr="00473C61">
        <w:rPr>
          <w:rFonts w:ascii="Times New Roman" w:eastAsiaTheme="minorEastAsia" w:hAnsi="Times New Roman"/>
          <w:sz w:val="24"/>
          <w:szCs w:val="24"/>
          <w:lang w:val="en-GB" w:eastAsia="en-GB"/>
        </w:rPr>
        <w:t xml:space="preserve">variables </w:t>
      </w:r>
      <w:r w:rsidRPr="00473C61">
        <w:rPr>
          <w:rFonts w:ascii="Times New Roman" w:eastAsiaTheme="minorEastAsia" w:hAnsi="Times New Roman"/>
          <w:sz w:val="24"/>
          <w:szCs w:val="24"/>
          <w:lang w:val="en-GB" w:eastAsia="en-GB"/>
        </w:rPr>
        <w:t xml:space="preserve">and </w:t>
      </w:r>
      <w:r w:rsidR="00BE4C01" w:rsidRPr="00473C61">
        <w:rPr>
          <w:rFonts w:ascii="Times New Roman" w:eastAsiaTheme="minorEastAsia" w:hAnsi="Times New Roman"/>
          <w:sz w:val="24"/>
          <w:szCs w:val="24"/>
          <w:lang w:val="en-GB" w:eastAsia="en-GB"/>
        </w:rPr>
        <w:t xml:space="preserve">alternative </w:t>
      </w:r>
      <w:r w:rsidRPr="00473C61">
        <w:rPr>
          <w:rFonts w:ascii="Times New Roman" w:eastAsiaTheme="minorEastAsia" w:hAnsi="Times New Roman"/>
          <w:sz w:val="24"/>
          <w:szCs w:val="24"/>
          <w:lang w:val="en-GB" w:eastAsia="en-GB"/>
        </w:rPr>
        <w:t>modelling approach</w:t>
      </w:r>
      <w:r w:rsidR="00BE4C01" w:rsidRPr="00473C61">
        <w:rPr>
          <w:rFonts w:ascii="Times New Roman" w:eastAsiaTheme="minorEastAsia" w:hAnsi="Times New Roman"/>
          <w:sz w:val="24"/>
          <w:szCs w:val="24"/>
          <w:lang w:val="en-GB" w:eastAsia="en-GB"/>
        </w:rPr>
        <w:t>es</w:t>
      </w:r>
      <w:r w:rsidRPr="00473C61">
        <w:rPr>
          <w:rFonts w:ascii="Times New Roman" w:eastAsiaTheme="minorEastAsia" w:hAnsi="Times New Roman"/>
          <w:sz w:val="24"/>
          <w:szCs w:val="24"/>
          <w:lang w:val="en-GB" w:eastAsia="en-GB"/>
        </w:rPr>
        <w:t xml:space="preserve"> undertaken.</w:t>
      </w:r>
      <w:r w:rsidR="000D5E6D" w:rsidRPr="00473C61">
        <w:rPr>
          <w:rFonts w:ascii="Times New Roman" w:eastAsiaTheme="minorEastAsia" w:hAnsi="Times New Roman"/>
          <w:sz w:val="24"/>
          <w:szCs w:val="24"/>
          <w:lang w:val="en-GB" w:eastAsia="en-GB"/>
        </w:rPr>
        <w:t xml:space="preserve">  </w:t>
      </w:r>
      <w:r w:rsidR="00EC309A" w:rsidRPr="00473C61">
        <w:rPr>
          <w:rFonts w:ascii="Times New Roman" w:eastAsiaTheme="minorEastAsia" w:hAnsi="Times New Roman"/>
          <w:sz w:val="24"/>
          <w:szCs w:val="24"/>
          <w:lang w:val="en-GB" w:eastAsia="en-GB"/>
        </w:rPr>
        <w:t xml:space="preserve">Another limitation </w:t>
      </w:r>
      <w:r w:rsidR="00502FC5" w:rsidRPr="00473C61">
        <w:rPr>
          <w:rFonts w:ascii="Times New Roman" w:eastAsiaTheme="minorEastAsia" w:hAnsi="Times New Roman"/>
          <w:sz w:val="24"/>
          <w:szCs w:val="24"/>
          <w:lang w:val="en-GB" w:eastAsia="en-GB"/>
        </w:rPr>
        <w:t xml:space="preserve">relates </w:t>
      </w:r>
      <w:r w:rsidR="00DA1F11" w:rsidRPr="00473C61">
        <w:rPr>
          <w:rFonts w:ascii="Times New Roman" w:eastAsiaTheme="minorEastAsia" w:hAnsi="Times New Roman"/>
          <w:sz w:val="24"/>
          <w:szCs w:val="24"/>
          <w:lang w:val="en-GB" w:eastAsia="en-GB"/>
        </w:rPr>
        <w:t>to data</w:t>
      </w:r>
      <w:r w:rsidR="00EC309A" w:rsidRPr="00473C61">
        <w:rPr>
          <w:rFonts w:ascii="Times New Roman" w:eastAsiaTheme="minorEastAsia" w:hAnsi="Times New Roman"/>
          <w:sz w:val="24"/>
          <w:szCs w:val="24"/>
          <w:lang w:val="en-GB" w:eastAsia="en-GB"/>
        </w:rPr>
        <w:t xml:space="preserve"> availability.  Knowing whether a household</w:t>
      </w:r>
      <w:r w:rsidR="00E864F1" w:rsidRPr="00473C61">
        <w:rPr>
          <w:rFonts w:ascii="Times New Roman" w:eastAsiaTheme="minorEastAsia" w:hAnsi="Times New Roman"/>
          <w:sz w:val="24"/>
          <w:szCs w:val="24"/>
          <w:lang w:val="en-GB" w:eastAsia="en-GB"/>
        </w:rPr>
        <w:t>’s</w:t>
      </w:r>
      <w:r w:rsidR="00EC309A" w:rsidRPr="00473C61">
        <w:rPr>
          <w:rFonts w:ascii="Times New Roman" w:eastAsiaTheme="minorEastAsia" w:hAnsi="Times New Roman"/>
          <w:sz w:val="24"/>
          <w:szCs w:val="24"/>
          <w:lang w:val="en-GB" w:eastAsia="en-GB"/>
        </w:rPr>
        <w:t xml:space="preserve"> loan or credit card application </w:t>
      </w:r>
      <w:r w:rsidR="00567EEF" w:rsidRPr="00473C61">
        <w:rPr>
          <w:rFonts w:ascii="Times New Roman" w:eastAsiaTheme="minorEastAsia" w:hAnsi="Times New Roman"/>
          <w:sz w:val="24"/>
          <w:szCs w:val="24"/>
          <w:lang w:val="en-GB" w:eastAsia="en-GB"/>
        </w:rPr>
        <w:t xml:space="preserve">is </w:t>
      </w:r>
      <w:r w:rsidR="00EC309A" w:rsidRPr="00473C61">
        <w:rPr>
          <w:rFonts w:ascii="Times New Roman" w:eastAsiaTheme="minorEastAsia" w:hAnsi="Times New Roman"/>
          <w:sz w:val="24"/>
          <w:szCs w:val="24"/>
          <w:lang w:val="en-GB" w:eastAsia="en-GB"/>
        </w:rPr>
        <w:t xml:space="preserve">rejected by the bank </w:t>
      </w:r>
      <w:r w:rsidR="00567EEF" w:rsidRPr="00473C61">
        <w:rPr>
          <w:rFonts w:ascii="Times New Roman" w:eastAsiaTheme="minorEastAsia" w:hAnsi="Times New Roman"/>
          <w:sz w:val="24"/>
          <w:szCs w:val="24"/>
          <w:lang w:val="en-GB" w:eastAsia="en-GB"/>
        </w:rPr>
        <w:t xml:space="preserve">would lead to more robust analysis.  However, the </w:t>
      </w:r>
      <w:r w:rsidR="00567EEF" w:rsidRPr="00473C61">
        <w:rPr>
          <w:rFonts w:ascii="Times New Roman" w:hAnsi="Times New Roman"/>
          <w:sz w:val="24"/>
          <w:szCs w:val="24"/>
        </w:rPr>
        <w:t>Living Costs and Food Survey</w:t>
      </w:r>
      <w:r w:rsidR="00842A2F" w:rsidRPr="00473C61">
        <w:rPr>
          <w:rFonts w:ascii="Times New Roman" w:hAnsi="Times New Roman"/>
          <w:sz w:val="24"/>
          <w:szCs w:val="24"/>
        </w:rPr>
        <w:t xml:space="preserve"> does</w:t>
      </w:r>
      <w:r w:rsidR="00567EEF" w:rsidRPr="00473C61">
        <w:rPr>
          <w:rFonts w:ascii="Times New Roman" w:hAnsi="Times New Roman"/>
          <w:sz w:val="24"/>
          <w:szCs w:val="24"/>
        </w:rPr>
        <w:t xml:space="preserve"> not ask a question relat</w:t>
      </w:r>
      <w:r w:rsidR="00502FC5" w:rsidRPr="00473C61">
        <w:rPr>
          <w:rFonts w:ascii="Times New Roman" w:hAnsi="Times New Roman"/>
          <w:sz w:val="24"/>
          <w:szCs w:val="24"/>
        </w:rPr>
        <w:t>ing</w:t>
      </w:r>
      <w:r w:rsidR="00567EEF" w:rsidRPr="00473C61">
        <w:rPr>
          <w:rFonts w:ascii="Times New Roman" w:hAnsi="Times New Roman"/>
          <w:sz w:val="24"/>
          <w:szCs w:val="24"/>
        </w:rPr>
        <w:t xml:space="preserve"> to </w:t>
      </w:r>
      <w:r w:rsidR="00842A2F" w:rsidRPr="00473C61">
        <w:rPr>
          <w:rFonts w:ascii="Times New Roman" w:hAnsi="Times New Roman"/>
          <w:sz w:val="24"/>
          <w:szCs w:val="24"/>
        </w:rPr>
        <w:t xml:space="preserve">consumer loan </w:t>
      </w:r>
      <w:r w:rsidR="00567EEF" w:rsidRPr="00473C61">
        <w:rPr>
          <w:rFonts w:ascii="Times New Roman" w:hAnsi="Times New Roman"/>
          <w:sz w:val="24"/>
          <w:szCs w:val="24"/>
        </w:rPr>
        <w:t>application</w:t>
      </w:r>
      <w:r w:rsidR="00502FC5" w:rsidRPr="00473C61">
        <w:rPr>
          <w:rFonts w:ascii="Times New Roman" w:hAnsi="Times New Roman"/>
          <w:sz w:val="24"/>
          <w:szCs w:val="24"/>
        </w:rPr>
        <w:t>s</w:t>
      </w:r>
      <w:r w:rsidR="00842A2F" w:rsidRPr="00473C61">
        <w:rPr>
          <w:rFonts w:ascii="Times New Roman" w:hAnsi="Times New Roman"/>
          <w:sz w:val="24"/>
          <w:szCs w:val="24"/>
        </w:rPr>
        <w:t xml:space="preserve"> and</w:t>
      </w:r>
      <w:r w:rsidR="00567EEF" w:rsidRPr="00473C61">
        <w:rPr>
          <w:rFonts w:ascii="Times New Roman" w:hAnsi="Times New Roman"/>
          <w:sz w:val="24"/>
          <w:szCs w:val="24"/>
        </w:rPr>
        <w:t xml:space="preserve"> rejections.  </w:t>
      </w:r>
    </w:p>
    <w:p w:rsidR="00EC309A" w:rsidRPr="00473C61" w:rsidRDefault="00EC309A" w:rsidP="001D6D37">
      <w:pPr>
        <w:autoSpaceDE w:val="0"/>
        <w:autoSpaceDN w:val="0"/>
        <w:adjustRightInd w:val="0"/>
        <w:spacing w:after="0" w:line="480" w:lineRule="auto"/>
        <w:jc w:val="both"/>
        <w:rPr>
          <w:rFonts w:ascii="Times New Roman" w:eastAsiaTheme="minorEastAsia" w:hAnsi="Times New Roman"/>
          <w:sz w:val="24"/>
          <w:szCs w:val="24"/>
          <w:lang w:val="en-GB" w:eastAsia="en-GB"/>
        </w:rPr>
      </w:pPr>
    </w:p>
    <w:p w:rsidR="005B5C87" w:rsidRPr="00473C61" w:rsidRDefault="00F74045" w:rsidP="001D6D37">
      <w:pPr>
        <w:pStyle w:val="Paragrafoelenco"/>
        <w:numPr>
          <w:ilvl w:val="0"/>
          <w:numId w:val="4"/>
        </w:numPr>
        <w:spacing w:after="0" w:line="480" w:lineRule="auto"/>
        <w:jc w:val="both"/>
        <w:rPr>
          <w:rFonts w:ascii="Times New Roman" w:hAnsi="Times New Roman"/>
          <w:b/>
          <w:sz w:val="24"/>
          <w:szCs w:val="24"/>
        </w:rPr>
      </w:pPr>
      <w:r w:rsidRPr="00473C61">
        <w:rPr>
          <w:rFonts w:ascii="Times New Roman" w:hAnsi="Times New Roman"/>
          <w:b/>
          <w:sz w:val="24"/>
          <w:szCs w:val="24"/>
        </w:rPr>
        <w:t>CONCLUSION</w:t>
      </w:r>
    </w:p>
    <w:p w:rsidR="005B5C87" w:rsidRPr="00473C61" w:rsidRDefault="005B5C87" w:rsidP="001D6D37">
      <w:pPr>
        <w:autoSpaceDE w:val="0"/>
        <w:autoSpaceDN w:val="0"/>
        <w:adjustRightInd w:val="0"/>
        <w:spacing w:after="0" w:line="480" w:lineRule="auto"/>
        <w:jc w:val="both"/>
        <w:rPr>
          <w:rFonts w:ascii="Times New Roman" w:hAnsi="Times New Roman"/>
          <w:sz w:val="24"/>
          <w:szCs w:val="24"/>
        </w:rPr>
      </w:pPr>
    </w:p>
    <w:p w:rsidR="005D14CC" w:rsidRPr="00473C61" w:rsidRDefault="00F053CF" w:rsidP="001D6D37">
      <w:pPr>
        <w:autoSpaceDE w:val="0"/>
        <w:autoSpaceDN w:val="0"/>
        <w:adjustRightInd w:val="0"/>
        <w:spacing w:after="0" w:line="480" w:lineRule="auto"/>
        <w:jc w:val="both"/>
        <w:rPr>
          <w:rFonts w:ascii="Times New Roman" w:hAnsi="Times New Roman"/>
          <w:sz w:val="24"/>
          <w:szCs w:val="24"/>
        </w:rPr>
      </w:pPr>
      <w:r w:rsidRPr="00473C61">
        <w:rPr>
          <w:rFonts w:ascii="Times New Roman" w:hAnsi="Times New Roman"/>
          <w:sz w:val="24"/>
          <w:szCs w:val="24"/>
        </w:rPr>
        <w:t xml:space="preserve">Over recent years policy interest in </w:t>
      </w:r>
      <w:r w:rsidR="00185ECD" w:rsidRPr="00473C61">
        <w:rPr>
          <w:rFonts w:ascii="Times New Roman" w:hAnsi="Times New Roman"/>
          <w:sz w:val="24"/>
          <w:szCs w:val="24"/>
        </w:rPr>
        <w:t xml:space="preserve">access to finance </w:t>
      </w:r>
      <w:r w:rsidRPr="00473C61">
        <w:rPr>
          <w:rFonts w:ascii="Times New Roman" w:hAnsi="Times New Roman"/>
          <w:sz w:val="24"/>
          <w:szCs w:val="24"/>
        </w:rPr>
        <w:t>has grown due to the view that barrier</w:t>
      </w:r>
      <w:r w:rsidR="00E446D6" w:rsidRPr="00473C61">
        <w:rPr>
          <w:rFonts w:ascii="Times New Roman" w:hAnsi="Times New Roman"/>
          <w:sz w:val="24"/>
          <w:szCs w:val="24"/>
        </w:rPr>
        <w:t>s</w:t>
      </w:r>
      <w:r w:rsidRPr="00473C61">
        <w:rPr>
          <w:rFonts w:ascii="Times New Roman" w:hAnsi="Times New Roman"/>
          <w:sz w:val="24"/>
          <w:szCs w:val="24"/>
        </w:rPr>
        <w:t xml:space="preserve"> to basic financial services can inhibit </w:t>
      </w:r>
      <w:r w:rsidR="004A1C4F" w:rsidRPr="00473C61">
        <w:rPr>
          <w:rFonts w:ascii="Times New Roman" w:hAnsi="Times New Roman"/>
          <w:sz w:val="24"/>
          <w:szCs w:val="24"/>
        </w:rPr>
        <w:t>both social and economic development. Globally, initiatives by the World Bank</w:t>
      </w:r>
      <w:r w:rsidR="00E446D6" w:rsidRPr="00473C61">
        <w:rPr>
          <w:rFonts w:ascii="Times New Roman" w:hAnsi="Times New Roman"/>
          <w:sz w:val="24"/>
          <w:szCs w:val="24"/>
        </w:rPr>
        <w:t xml:space="preserve"> (2014)</w:t>
      </w:r>
      <w:r w:rsidR="004A1C4F" w:rsidRPr="00473C61">
        <w:rPr>
          <w:rFonts w:ascii="Times New Roman" w:hAnsi="Times New Roman"/>
          <w:sz w:val="24"/>
          <w:szCs w:val="24"/>
        </w:rPr>
        <w:t xml:space="preserve"> have sought to bring financial exclusion to the top of the development agenda, and </w:t>
      </w:r>
      <w:r w:rsidR="00E446D6" w:rsidRPr="00473C61">
        <w:rPr>
          <w:rFonts w:ascii="Times New Roman" w:hAnsi="Times New Roman"/>
          <w:sz w:val="24"/>
          <w:szCs w:val="24"/>
        </w:rPr>
        <w:t xml:space="preserve">even in advanced economies like the UK, </w:t>
      </w:r>
      <w:r w:rsidR="004A1C4F" w:rsidRPr="00473C61">
        <w:rPr>
          <w:rFonts w:ascii="Times New Roman" w:hAnsi="Times New Roman"/>
          <w:sz w:val="24"/>
          <w:szCs w:val="24"/>
        </w:rPr>
        <w:t>senior policymakers have voiced their concerns about the barriers faced by eth</w:t>
      </w:r>
      <w:r w:rsidR="00185ECD" w:rsidRPr="00473C61">
        <w:rPr>
          <w:rFonts w:ascii="Times New Roman" w:hAnsi="Times New Roman"/>
          <w:sz w:val="24"/>
          <w:szCs w:val="24"/>
        </w:rPr>
        <w:t>n</w:t>
      </w:r>
      <w:r w:rsidR="004A1C4F" w:rsidRPr="00473C61">
        <w:rPr>
          <w:rFonts w:ascii="Times New Roman" w:hAnsi="Times New Roman"/>
          <w:sz w:val="24"/>
          <w:szCs w:val="24"/>
        </w:rPr>
        <w:t xml:space="preserve">ic </w:t>
      </w:r>
      <w:r w:rsidR="00E446D6" w:rsidRPr="00473C61">
        <w:rPr>
          <w:rFonts w:ascii="Times New Roman" w:hAnsi="Times New Roman"/>
          <w:sz w:val="24"/>
          <w:szCs w:val="24"/>
        </w:rPr>
        <w:t>groups</w:t>
      </w:r>
      <w:r w:rsidR="004A1C4F" w:rsidRPr="00473C61">
        <w:rPr>
          <w:rFonts w:ascii="Times New Roman" w:hAnsi="Times New Roman"/>
          <w:sz w:val="24"/>
          <w:szCs w:val="24"/>
        </w:rPr>
        <w:t xml:space="preserve"> in accessing credit. </w:t>
      </w:r>
      <w:r w:rsidR="00197B9F" w:rsidRPr="00473C61">
        <w:rPr>
          <w:rFonts w:ascii="Times New Roman" w:hAnsi="Times New Roman"/>
          <w:sz w:val="24"/>
          <w:szCs w:val="24"/>
        </w:rPr>
        <w:t xml:space="preserve">The issue is </w:t>
      </w:r>
      <w:r w:rsidR="004A1C4F" w:rsidRPr="00473C61">
        <w:rPr>
          <w:rFonts w:ascii="Times New Roman" w:hAnsi="Times New Roman"/>
          <w:sz w:val="24"/>
          <w:szCs w:val="24"/>
        </w:rPr>
        <w:t xml:space="preserve">deemed </w:t>
      </w:r>
      <w:r w:rsidR="00197B9F" w:rsidRPr="00473C61">
        <w:rPr>
          <w:rFonts w:ascii="Times New Roman" w:hAnsi="Times New Roman"/>
          <w:sz w:val="24"/>
          <w:szCs w:val="24"/>
        </w:rPr>
        <w:t xml:space="preserve">of particular importance for the general welfare of society as in the modern world </w:t>
      </w:r>
      <w:r w:rsidR="004A1C4F" w:rsidRPr="00473C61">
        <w:rPr>
          <w:rFonts w:ascii="Times New Roman" w:hAnsi="Times New Roman"/>
          <w:sz w:val="24"/>
          <w:szCs w:val="24"/>
        </w:rPr>
        <w:t xml:space="preserve">the </w:t>
      </w:r>
      <w:r w:rsidR="00E446D6" w:rsidRPr="00473C61">
        <w:rPr>
          <w:rFonts w:ascii="Times New Roman" w:hAnsi="Times New Roman"/>
          <w:sz w:val="24"/>
          <w:szCs w:val="24"/>
        </w:rPr>
        <w:t>in</w:t>
      </w:r>
      <w:r w:rsidR="00197B9F" w:rsidRPr="00473C61">
        <w:rPr>
          <w:rFonts w:ascii="Times New Roman" w:hAnsi="Times New Roman"/>
          <w:sz w:val="24"/>
          <w:szCs w:val="24"/>
        </w:rPr>
        <w:t xml:space="preserve">ability </w:t>
      </w:r>
      <w:r w:rsidR="00E446D6" w:rsidRPr="00473C61">
        <w:rPr>
          <w:rFonts w:ascii="Times New Roman" w:hAnsi="Times New Roman"/>
          <w:sz w:val="24"/>
          <w:szCs w:val="24"/>
        </w:rPr>
        <w:t xml:space="preserve">of households </w:t>
      </w:r>
      <w:r w:rsidR="00197B9F" w:rsidRPr="00473C61">
        <w:rPr>
          <w:rFonts w:ascii="Times New Roman" w:hAnsi="Times New Roman"/>
          <w:sz w:val="24"/>
          <w:szCs w:val="24"/>
        </w:rPr>
        <w:t xml:space="preserve">to access </w:t>
      </w:r>
      <w:r w:rsidR="00E446D6" w:rsidRPr="00473C61">
        <w:rPr>
          <w:rFonts w:ascii="Times New Roman" w:hAnsi="Times New Roman"/>
          <w:sz w:val="24"/>
          <w:szCs w:val="24"/>
        </w:rPr>
        <w:t xml:space="preserve">basic consumer </w:t>
      </w:r>
      <w:r w:rsidR="00197B9F" w:rsidRPr="00473C61">
        <w:rPr>
          <w:rFonts w:ascii="Times New Roman" w:hAnsi="Times New Roman"/>
          <w:sz w:val="24"/>
          <w:szCs w:val="24"/>
        </w:rPr>
        <w:t xml:space="preserve">credit </w:t>
      </w:r>
      <w:r w:rsidR="00E446D6" w:rsidRPr="00473C61">
        <w:rPr>
          <w:rFonts w:ascii="Times New Roman" w:hAnsi="Times New Roman"/>
          <w:sz w:val="24"/>
          <w:szCs w:val="24"/>
        </w:rPr>
        <w:t>can</w:t>
      </w:r>
      <w:r w:rsidR="00197B9F" w:rsidRPr="00473C61">
        <w:rPr>
          <w:rFonts w:ascii="Times New Roman" w:eastAsiaTheme="minorEastAsia" w:hAnsi="Times New Roman"/>
          <w:sz w:val="24"/>
          <w:szCs w:val="24"/>
          <w:lang w:eastAsia="en-GB"/>
        </w:rPr>
        <w:t xml:space="preserve"> </w:t>
      </w:r>
      <w:r w:rsidR="00570D9B" w:rsidRPr="00473C61">
        <w:rPr>
          <w:rFonts w:ascii="Times New Roman" w:eastAsiaTheme="minorEastAsia" w:hAnsi="Times New Roman"/>
          <w:sz w:val="24"/>
          <w:szCs w:val="24"/>
          <w:lang w:eastAsia="en-GB"/>
        </w:rPr>
        <w:t xml:space="preserve">exacerbate economic disadvantage </w:t>
      </w:r>
      <w:r w:rsidR="00E446D6" w:rsidRPr="00473C61">
        <w:rPr>
          <w:rFonts w:ascii="Times New Roman" w:eastAsiaTheme="minorEastAsia" w:hAnsi="Times New Roman"/>
          <w:sz w:val="24"/>
          <w:szCs w:val="24"/>
          <w:lang w:eastAsia="en-GB"/>
        </w:rPr>
        <w:t xml:space="preserve">that </w:t>
      </w:r>
      <w:r w:rsidR="00197B9F" w:rsidRPr="00473C61">
        <w:rPr>
          <w:rFonts w:ascii="Times New Roman" w:eastAsiaTheme="minorEastAsia" w:hAnsi="Times New Roman"/>
          <w:sz w:val="24"/>
          <w:szCs w:val="24"/>
          <w:lang w:eastAsia="en-GB"/>
        </w:rPr>
        <w:t xml:space="preserve">may lead to social exclusion.  </w:t>
      </w:r>
      <w:r w:rsidR="004A1C4F" w:rsidRPr="00473C61">
        <w:rPr>
          <w:rFonts w:ascii="Times New Roman" w:eastAsiaTheme="minorEastAsia" w:hAnsi="Times New Roman"/>
          <w:sz w:val="24"/>
          <w:szCs w:val="24"/>
          <w:lang w:eastAsia="en-GB"/>
        </w:rPr>
        <w:t xml:space="preserve">This paper seeks to investigate </w:t>
      </w:r>
      <w:r w:rsidR="00185ECD" w:rsidRPr="00473C61">
        <w:rPr>
          <w:rFonts w:ascii="Times New Roman" w:eastAsiaTheme="minorEastAsia" w:hAnsi="Times New Roman"/>
          <w:sz w:val="24"/>
          <w:szCs w:val="24"/>
          <w:lang w:eastAsia="en-GB"/>
        </w:rPr>
        <w:t xml:space="preserve">access to credit </w:t>
      </w:r>
      <w:r w:rsidR="004A1C4F" w:rsidRPr="00473C61">
        <w:rPr>
          <w:rFonts w:ascii="Times New Roman" w:eastAsiaTheme="minorEastAsia" w:hAnsi="Times New Roman"/>
          <w:sz w:val="24"/>
          <w:szCs w:val="24"/>
          <w:lang w:eastAsia="en-GB"/>
        </w:rPr>
        <w:t xml:space="preserve">in </w:t>
      </w:r>
      <w:r w:rsidR="004A1C4F" w:rsidRPr="00473C61">
        <w:rPr>
          <w:rFonts w:ascii="Times New Roman" w:hAnsi="Times New Roman"/>
          <w:sz w:val="24"/>
          <w:szCs w:val="24"/>
        </w:rPr>
        <w:t xml:space="preserve">the </w:t>
      </w:r>
      <w:r w:rsidR="005D14CC" w:rsidRPr="00473C61">
        <w:rPr>
          <w:rFonts w:ascii="Times New Roman" w:hAnsi="Times New Roman"/>
          <w:sz w:val="24"/>
          <w:szCs w:val="24"/>
        </w:rPr>
        <w:t>UK consumer credit market</w:t>
      </w:r>
      <w:r w:rsidR="008E350D" w:rsidRPr="00473C61">
        <w:rPr>
          <w:rFonts w:ascii="Times New Roman" w:hAnsi="Times New Roman"/>
          <w:sz w:val="24"/>
          <w:szCs w:val="24"/>
        </w:rPr>
        <w:t xml:space="preserve"> (loans and credit cards) utilis</w:t>
      </w:r>
      <w:r w:rsidR="005D14CC" w:rsidRPr="00473C61">
        <w:rPr>
          <w:rFonts w:ascii="Times New Roman" w:hAnsi="Times New Roman"/>
          <w:sz w:val="24"/>
          <w:szCs w:val="24"/>
        </w:rPr>
        <w:t xml:space="preserve">ing a </w:t>
      </w:r>
      <w:r w:rsidR="004A1C4F" w:rsidRPr="00473C61">
        <w:rPr>
          <w:rFonts w:ascii="Times New Roman" w:hAnsi="Times New Roman"/>
          <w:sz w:val="24"/>
          <w:szCs w:val="24"/>
        </w:rPr>
        <w:t xml:space="preserve">unique sample </w:t>
      </w:r>
      <w:r w:rsidR="00185ECD" w:rsidRPr="00473C61">
        <w:rPr>
          <w:rFonts w:ascii="Times New Roman" w:hAnsi="Times New Roman"/>
          <w:sz w:val="24"/>
          <w:szCs w:val="24"/>
        </w:rPr>
        <w:t xml:space="preserve">that </w:t>
      </w:r>
      <w:r w:rsidR="004A1C4F" w:rsidRPr="00473C61">
        <w:rPr>
          <w:rFonts w:ascii="Times New Roman" w:hAnsi="Times New Roman"/>
          <w:sz w:val="24"/>
          <w:szCs w:val="24"/>
        </w:rPr>
        <w:t>document</w:t>
      </w:r>
      <w:r w:rsidR="00185ECD" w:rsidRPr="00473C61">
        <w:rPr>
          <w:rFonts w:ascii="Times New Roman" w:hAnsi="Times New Roman"/>
          <w:sz w:val="24"/>
          <w:szCs w:val="24"/>
        </w:rPr>
        <w:t xml:space="preserve">s the social, economic and demographic features of </w:t>
      </w:r>
      <w:r w:rsidR="005D14CC" w:rsidRPr="00473C61">
        <w:rPr>
          <w:rFonts w:ascii="Times New Roman" w:hAnsi="Times New Roman"/>
          <w:sz w:val="24"/>
          <w:szCs w:val="24"/>
        </w:rPr>
        <w:t>58,642 households</w:t>
      </w:r>
      <w:r w:rsidR="00E446D6" w:rsidRPr="00473C61">
        <w:rPr>
          <w:rFonts w:ascii="Times New Roman" w:hAnsi="Times New Roman"/>
          <w:sz w:val="24"/>
          <w:szCs w:val="24"/>
        </w:rPr>
        <w:t xml:space="preserve"> </w:t>
      </w:r>
      <w:r w:rsidR="004A1C4F" w:rsidRPr="00473C61">
        <w:rPr>
          <w:rFonts w:ascii="Times New Roman" w:hAnsi="Times New Roman"/>
          <w:sz w:val="24"/>
          <w:szCs w:val="24"/>
        </w:rPr>
        <w:t xml:space="preserve">over </w:t>
      </w:r>
      <w:r w:rsidR="005D14CC" w:rsidRPr="00473C61">
        <w:rPr>
          <w:rFonts w:ascii="Times New Roman" w:hAnsi="Times New Roman"/>
          <w:sz w:val="24"/>
          <w:szCs w:val="24"/>
        </w:rPr>
        <w:t xml:space="preserve"> 2001 and 2009.  </w:t>
      </w:r>
    </w:p>
    <w:p w:rsidR="00F966CC" w:rsidRPr="00473C61" w:rsidRDefault="00F966CC" w:rsidP="001D6D37">
      <w:pPr>
        <w:autoSpaceDE w:val="0"/>
        <w:autoSpaceDN w:val="0"/>
        <w:adjustRightInd w:val="0"/>
        <w:spacing w:after="0" w:line="480" w:lineRule="auto"/>
        <w:jc w:val="both"/>
        <w:rPr>
          <w:rFonts w:ascii="Times New Roman" w:hAnsi="Times New Roman"/>
          <w:sz w:val="24"/>
          <w:szCs w:val="24"/>
        </w:rPr>
      </w:pPr>
    </w:p>
    <w:p w:rsidR="006C3FF1" w:rsidRPr="00473C61" w:rsidRDefault="00185ECD" w:rsidP="006C3FF1">
      <w:pPr>
        <w:autoSpaceDE w:val="0"/>
        <w:autoSpaceDN w:val="0"/>
        <w:adjustRightInd w:val="0"/>
        <w:spacing w:after="0" w:line="480" w:lineRule="auto"/>
        <w:jc w:val="both"/>
        <w:rPr>
          <w:rFonts w:ascii="Times New Roman" w:hAnsi="Times New Roman"/>
          <w:sz w:val="24"/>
          <w:szCs w:val="24"/>
          <w:lang w:val="en-GB"/>
        </w:rPr>
      </w:pPr>
      <w:r w:rsidRPr="00473C61">
        <w:rPr>
          <w:rFonts w:ascii="Times New Roman" w:hAnsi="Times New Roman"/>
          <w:sz w:val="24"/>
          <w:szCs w:val="24"/>
        </w:rPr>
        <w:t>Using a variety of modeling approaches and robustness tests w</w:t>
      </w:r>
      <w:r w:rsidR="00F966CC" w:rsidRPr="00473C61">
        <w:rPr>
          <w:rFonts w:ascii="Times New Roman" w:hAnsi="Times New Roman"/>
          <w:sz w:val="24"/>
          <w:szCs w:val="24"/>
        </w:rPr>
        <w:t xml:space="preserve">e find that non-white households are less likely to have </w:t>
      </w:r>
      <w:r w:rsidRPr="00473C61">
        <w:rPr>
          <w:rFonts w:ascii="Times New Roman" w:hAnsi="Times New Roman"/>
          <w:sz w:val="24"/>
          <w:szCs w:val="24"/>
        </w:rPr>
        <w:t xml:space="preserve">access to consumer credit </w:t>
      </w:r>
      <w:r w:rsidR="00F966CC" w:rsidRPr="00473C61">
        <w:rPr>
          <w:rFonts w:ascii="Times New Roman" w:hAnsi="Times New Roman"/>
          <w:sz w:val="24"/>
          <w:szCs w:val="24"/>
        </w:rPr>
        <w:t xml:space="preserve">compared to white households.  </w:t>
      </w:r>
      <w:r w:rsidR="00962F59" w:rsidRPr="00473C61">
        <w:rPr>
          <w:rFonts w:ascii="Times New Roman" w:hAnsi="Times New Roman"/>
          <w:sz w:val="24"/>
          <w:szCs w:val="24"/>
        </w:rPr>
        <w:lastRenderedPageBreak/>
        <w:t xml:space="preserve">We also find that even if they obtain financing, the intensity of borrowing is lower than </w:t>
      </w:r>
      <w:r w:rsidRPr="00473C61">
        <w:rPr>
          <w:rFonts w:ascii="Times New Roman" w:hAnsi="Times New Roman"/>
          <w:sz w:val="24"/>
          <w:szCs w:val="24"/>
        </w:rPr>
        <w:t xml:space="preserve">for comparable </w:t>
      </w:r>
      <w:r w:rsidR="00962F59" w:rsidRPr="00473C61">
        <w:rPr>
          <w:rFonts w:ascii="Times New Roman" w:hAnsi="Times New Roman"/>
          <w:sz w:val="24"/>
          <w:szCs w:val="24"/>
        </w:rPr>
        <w:t xml:space="preserve">white households. </w:t>
      </w:r>
      <w:r w:rsidR="008B3404" w:rsidRPr="00473C61">
        <w:rPr>
          <w:rFonts w:ascii="Times New Roman" w:hAnsi="Times New Roman"/>
          <w:sz w:val="24"/>
          <w:szCs w:val="24"/>
        </w:rPr>
        <w:t>Th</w:t>
      </w:r>
      <w:r w:rsidR="00962F59" w:rsidRPr="00473C61">
        <w:rPr>
          <w:rFonts w:ascii="Times New Roman" w:hAnsi="Times New Roman"/>
          <w:sz w:val="24"/>
          <w:szCs w:val="24"/>
        </w:rPr>
        <w:t>e</w:t>
      </w:r>
      <w:r w:rsidR="008B3404" w:rsidRPr="00473C61">
        <w:rPr>
          <w:rFonts w:ascii="Times New Roman" w:hAnsi="Times New Roman"/>
          <w:sz w:val="24"/>
          <w:szCs w:val="24"/>
        </w:rPr>
        <w:t>s</w:t>
      </w:r>
      <w:r w:rsidR="00962F59" w:rsidRPr="00473C61">
        <w:rPr>
          <w:rFonts w:ascii="Times New Roman" w:hAnsi="Times New Roman"/>
          <w:sz w:val="24"/>
          <w:szCs w:val="24"/>
        </w:rPr>
        <w:t>e</w:t>
      </w:r>
      <w:r w:rsidR="008B3404" w:rsidRPr="00473C61">
        <w:rPr>
          <w:rFonts w:ascii="Times New Roman" w:hAnsi="Times New Roman"/>
          <w:sz w:val="24"/>
          <w:szCs w:val="24"/>
        </w:rPr>
        <w:t xml:space="preserve"> outcome</w:t>
      </w:r>
      <w:r w:rsidR="00962F59" w:rsidRPr="00473C61">
        <w:rPr>
          <w:rFonts w:ascii="Times New Roman" w:hAnsi="Times New Roman"/>
          <w:sz w:val="24"/>
          <w:szCs w:val="24"/>
        </w:rPr>
        <w:t>s are</w:t>
      </w:r>
      <w:r w:rsidR="008B3404" w:rsidRPr="00473C61">
        <w:rPr>
          <w:rFonts w:ascii="Times New Roman" w:hAnsi="Times New Roman"/>
          <w:sz w:val="24"/>
          <w:szCs w:val="24"/>
        </w:rPr>
        <w:t xml:space="preserve"> </w:t>
      </w:r>
      <w:r w:rsidR="00E446D6" w:rsidRPr="00473C61">
        <w:rPr>
          <w:rFonts w:ascii="Times New Roman" w:hAnsi="Times New Roman"/>
          <w:sz w:val="24"/>
          <w:szCs w:val="24"/>
        </w:rPr>
        <w:t xml:space="preserve">particularly </w:t>
      </w:r>
      <w:r w:rsidRPr="00473C61">
        <w:rPr>
          <w:rFonts w:ascii="Times New Roman" w:hAnsi="Times New Roman"/>
          <w:sz w:val="24"/>
          <w:szCs w:val="24"/>
        </w:rPr>
        <w:t xml:space="preserve">prevalent for low income </w:t>
      </w:r>
      <w:r w:rsidR="008B3404" w:rsidRPr="00473C61">
        <w:rPr>
          <w:rFonts w:ascii="Times New Roman" w:hAnsi="Times New Roman"/>
          <w:sz w:val="24"/>
          <w:szCs w:val="24"/>
        </w:rPr>
        <w:t>households</w:t>
      </w:r>
      <w:r w:rsidR="00AD0872" w:rsidRPr="00473C61">
        <w:rPr>
          <w:rFonts w:ascii="Times New Roman" w:hAnsi="Times New Roman"/>
          <w:sz w:val="24"/>
          <w:szCs w:val="24"/>
        </w:rPr>
        <w:t xml:space="preserve">. </w:t>
      </w:r>
      <w:r w:rsidR="00E446D6" w:rsidRPr="00473C61">
        <w:rPr>
          <w:rFonts w:ascii="Times New Roman" w:hAnsi="Times New Roman"/>
          <w:sz w:val="24"/>
          <w:szCs w:val="24"/>
        </w:rPr>
        <w:t>O</w:t>
      </w:r>
      <w:r w:rsidR="00AD0872" w:rsidRPr="00473C61">
        <w:rPr>
          <w:rFonts w:ascii="Times New Roman" w:hAnsi="Times New Roman"/>
          <w:sz w:val="24"/>
          <w:szCs w:val="24"/>
        </w:rPr>
        <w:t>ther factors, such as being employed or having a mo</w:t>
      </w:r>
      <w:r w:rsidR="00702E98" w:rsidRPr="00473C61">
        <w:rPr>
          <w:rFonts w:ascii="Times New Roman" w:hAnsi="Times New Roman"/>
          <w:sz w:val="24"/>
          <w:szCs w:val="24"/>
        </w:rPr>
        <w:t xml:space="preserve">rtgage, do not seem to have a lessening effect on the ability </w:t>
      </w:r>
      <w:r w:rsidR="004A1C4F" w:rsidRPr="00473C61">
        <w:rPr>
          <w:rFonts w:ascii="Times New Roman" w:hAnsi="Times New Roman"/>
          <w:sz w:val="24"/>
          <w:szCs w:val="24"/>
        </w:rPr>
        <w:t xml:space="preserve">of non-white households </w:t>
      </w:r>
      <w:r w:rsidR="00702E98" w:rsidRPr="00473C61">
        <w:rPr>
          <w:rFonts w:ascii="Times New Roman" w:hAnsi="Times New Roman"/>
          <w:sz w:val="24"/>
          <w:szCs w:val="24"/>
        </w:rPr>
        <w:t xml:space="preserve">to access credit. </w:t>
      </w:r>
      <w:r w:rsidR="004A1C4F" w:rsidRPr="00473C61">
        <w:rPr>
          <w:rFonts w:ascii="Times New Roman" w:hAnsi="Times New Roman"/>
          <w:sz w:val="24"/>
          <w:szCs w:val="24"/>
        </w:rPr>
        <w:t>Our m</w:t>
      </w:r>
      <w:r w:rsidR="008B3404" w:rsidRPr="00473C61">
        <w:rPr>
          <w:rFonts w:ascii="Times New Roman" w:hAnsi="Times New Roman"/>
          <w:sz w:val="24"/>
          <w:szCs w:val="24"/>
        </w:rPr>
        <w:t xml:space="preserve">ain </w:t>
      </w:r>
      <w:r w:rsidR="006C3FF1" w:rsidRPr="00473C61">
        <w:rPr>
          <w:rFonts w:ascii="Times New Roman" w:hAnsi="Times New Roman"/>
          <w:sz w:val="24"/>
          <w:szCs w:val="24"/>
        </w:rPr>
        <w:t>results</w:t>
      </w:r>
      <w:r w:rsidR="008B3404" w:rsidRPr="00473C61">
        <w:rPr>
          <w:rFonts w:ascii="Times New Roman" w:hAnsi="Times New Roman"/>
          <w:sz w:val="24"/>
          <w:szCs w:val="24"/>
        </w:rPr>
        <w:t xml:space="preserve"> are confirmed by complementary methodologies and remain </w:t>
      </w:r>
      <w:r w:rsidR="00F966CC" w:rsidRPr="00473C61">
        <w:rPr>
          <w:rFonts w:ascii="Times New Roman" w:hAnsi="Times New Roman"/>
          <w:sz w:val="24"/>
          <w:szCs w:val="24"/>
        </w:rPr>
        <w:t xml:space="preserve">robust </w:t>
      </w:r>
      <w:r w:rsidR="008B3404" w:rsidRPr="00473C61">
        <w:rPr>
          <w:rFonts w:ascii="Times New Roman" w:hAnsi="Times New Roman"/>
          <w:sz w:val="24"/>
          <w:szCs w:val="24"/>
        </w:rPr>
        <w:t xml:space="preserve">to </w:t>
      </w:r>
      <w:r w:rsidR="00F966CC" w:rsidRPr="00473C61">
        <w:rPr>
          <w:rFonts w:ascii="Times New Roman" w:hAnsi="Times New Roman"/>
          <w:sz w:val="24"/>
          <w:szCs w:val="24"/>
        </w:rPr>
        <w:t xml:space="preserve">alternative specifications.   </w:t>
      </w:r>
    </w:p>
    <w:p w:rsidR="00F966CC" w:rsidRPr="00473C61" w:rsidRDefault="00F966CC" w:rsidP="001D6D37">
      <w:pPr>
        <w:autoSpaceDE w:val="0"/>
        <w:autoSpaceDN w:val="0"/>
        <w:adjustRightInd w:val="0"/>
        <w:spacing w:after="0" w:line="480" w:lineRule="auto"/>
        <w:jc w:val="both"/>
        <w:rPr>
          <w:rFonts w:ascii="Times New Roman" w:hAnsi="Times New Roman"/>
          <w:sz w:val="24"/>
          <w:szCs w:val="24"/>
        </w:rPr>
      </w:pPr>
    </w:p>
    <w:p w:rsidR="003733BE" w:rsidRPr="00473C61" w:rsidRDefault="005B5C87" w:rsidP="003733BE">
      <w:pPr>
        <w:autoSpaceDE w:val="0"/>
        <w:autoSpaceDN w:val="0"/>
        <w:adjustRightInd w:val="0"/>
        <w:spacing w:after="0" w:line="480" w:lineRule="auto"/>
        <w:jc w:val="both"/>
        <w:rPr>
          <w:rFonts w:ascii="Times New Roman" w:hAnsi="Times New Roman"/>
          <w:lang w:val="en-GB"/>
        </w:rPr>
      </w:pPr>
      <w:r w:rsidRPr="00473C61">
        <w:rPr>
          <w:rFonts w:ascii="Times New Roman" w:hAnsi="Times New Roman"/>
          <w:sz w:val="24"/>
          <w:szCs w:val="24"/>
          <w:lang w:val="en-GB" w:eastAsia="en-GB"/>
        </w:rPr>
        <w:t xml:space="preserve">The possible reasons </w:t>
      </w:r>
      <w:r w:rsidR="00185ECD" w:rsidRPr="00473C61">
        <w:rPr>
          <w:rFonts w:ascii="Times New Roman" w:hAnsi="Times New Roman"/>
          <w:sz w:val="24"/>
          <w:szCs w:val="24"/>
          <w:lang w:val="en-GB" w:eastAsia="en-GB"/>
        </w:rPr>
        <w:t xml:space="preserve">why lower income </w:t>
      </w:r>
      <w:r w:rsidR="00E446D6" w:rsidRPr="00473C61">
        <w:rPr>
          <w:rFonts w:ascii="Times New Roman" w:hAnsi="Times New Roman"/>
          <w:sz w:val="24"/>
          <w:szCs w:val="24"/>
          <w:lang w:val="en-GB" w:eastAsia="en-GB"/>
        </w:rPr>
        <w:t xml:space="preserve">non-white households </w:t>
      </w:r>
      <w:r w:rsidR="00185ECD" w:rsidRPr="00473C61">
        <w:rPr>
          <w:rFonts w:ascii="Times New Roman" w:hAnsi="Times New Roman"/>
          <w:sz w:val="24"/>
          <w:szCs w:val="24"/>
          <w:lang w:val="en-GB" w:eastAsia="en-GB"/>
        </w:rPr>
        <w:t xml:space="preserve">have less </w:t>
      </w:r>
      <w:r w:rsidR="00843CFE" w:rsidRPr="00473C61">
        <w:rPr>
          <w:rFonts w:ascii="Times New Roman" w:hAnsi="Times New Roman"/>
          <w:sz w:val="24"/>
          <w:szCs w:val="24"/>
          <w:lang w:val="en-GB" w:eastAsia="en-GB"/>
        </w:rPr>
        <w:t xml:space="preserve">access to consumer credit in the UK is unclear and </w:t>
      </w:r>
      <w:r w:rsidRPr="00473C61">
        <w:rPr>
          <w:rFonts w:ascii="Times New Roman" w:hAnsi="Times New Roman"/>
          <w:sz w:val="24"/>
          <w:szCs w:val="24"/>
          <w:lang w:val="en-GB" w:eastAsia="en-GB"/>
        </w:rPr>
        <w:t xml:space="preserve">beyond the scope of this paper.  However, being aware of the link between </w:t>
      </w:r>
      <w:r w:rsidR="00843CFE" w:rsidRPr="00473C61">
        <w:rPr>
          <w:rFonts w:ascii="Times New Roman" w:hAnsi="Times New Roman"/>
          <w:sz w:val="24"/>
          <w:szCs w:val="24"/>
          <w:lang w:val="en-GB" w:eastAsia="en-GB"/>
        </w:rPr>
        <w:t xml:space="preserve">access to </w:t>
      </w:r>
      <w:r w:rsidRPr="00473C61">
        <w:rPr>
          <w:rFonts w:ascii="Times New Roman" w:hAnsi="Times New Roman"/>
          <w:sz w:val="24"/>
          <w:szCs w:val="24"/>
          <w:lang w:val="en-GB" w:eastAsia="en-GB"/>
        </w:rPr>
        <w:t xml:space="preserve">credit and social exclusion, policy makers should </w:t>
      </w:r>
      <w:r w:rsidR="00843CFE" w:rsidRPr="00473C61">
        <w:rPr>
          <w:rFonts w:ascii="Times New Roman" w:hAnsi="Times New Roman"/>
          <w:sz w:val="24"/>
          <w:szCs w:val="24"/>
          <w:lang w:val="en-GB" w:eastAsia="en-GB"/>
        </w:rPr>
        <w:t xml:space="preserve">seek to develop </w:t>
      </w:r>
      <w:r w:rsidRPr="00473C61">
        <w:rPr>
          <w:rFonts w:ascii="Times New Roman" w:hAnsi="Times New Roman"/>
          <w:sz w:val="24"/>
          <w:szCs w:val="24"/>
          <w:lang w:val="en-GB" w:eastAsia="en-GB"/>
        </w:rPr>
        <w:t xml:space="preserve">policies and mechanism </w:t>
      </w:r>
      <w:r w:rsidR="00843CFE" w:rsidRPr="00473C61">
        <w:rPr>
          <w:rFonts w:ascii="Times New Roman" w:hAnsi="Times New Roman"/>
          <w:sz w:val="24"/>
          <w:szCs w:val="24"/>
          <w:lang w:val="en-GB" w:eastAsia="en-GB"/>
        </w:rPr>
        <w:t xml:space="preserve">aimed at </w:t>
      </w:r>
      <w:r w:rsidRPr="00473C61">
        <w:rPr>
          <w:rFonts w:ascii="Times New Roman" w:hAnsi="Times New Roman"/>
          <w:sz w:val="24"/>
          <w:szCs w:val="24"/>
          <w:lang w:val="en-GB" w:eastAsia="en-GB"/>
        </w:rPr>
        <w:t>reduc</w:t>
      </w:r>
      <w:r w:rsidR="00843CFE" w:rsidRPr="00473C61">
        <w:rPr>
          <w:rFonts w:ascii="Times New Roman" w:hAnsi="Times New Roman"/>
          <w:sz w:val="24"/>
          <w:szCs w:val="24"/>
          <w:lang w:val="en-GB" w:eastAsia="en-GB"/>
        </w:rPr>
        <w:t xml:space="preserve">ing </w:t>
      </w:r>
      <w:r w:rsidR="00BA4E75" w:rsidRPr="00473C61">
        <w:rPr>
          <w:rFonts w:ascii="Times New Roman" w:hAnsi="Times New Roman"/>
          <w:sz w:val="24"/>
          <w:szCs w:val="24"/>
          <w:lang w:val="en-GB" w:eastAsia="en-GB"/>
        </w:rPr>
        <w:t>the barriers that appear to inhibit non-white households to access the consumer credit market</w:t>
      </w:r>
      <w:r w:rsidR="00843CFE" w:rsidRPr="00473C61">
        <w:rPr>
          <w:rFonts w:ascii="Times New Roman" w:hAnsi="Times New Roman"/>
          <w:sz w:val="24"/>
          <w:szCs w:val="24"/>
          <w:lang w:val="en-GB" w:eastAsia="en-GB"/>
        </w:rPr>
        <w:t xml:space="preserve">. We </w:t>
      </w:r>
      <w:r w:rsidR="00E446D6" w:rsidRPr="00473C61">
        <w:rPr>
          <w:rFonts w:ascii="Times New Roman" w:hAnsi="Times New Roman"/>
          <w:sz w:val="24"/>
          <w:szCs w:val="24"/>
          <w:lang w:val="en-GB" w:eastAsia="en-GB"/>
        </w:rPr>
        <w:t xml:space="preserve">suggest </w:t>
      </w:r>
      <w:r w:rsidR="00843CFE" w:rsidRPr="00473C61">
        <w:rPr>
          <w:rFonts w:ascii="Times New Roman" w:hAnsi="Times New Roman"/>
          <w:sz w:val="24"/>
          <w:szCs w:val="24"/>
          <w:lang w:val="en-GB" w:eastAsia="en-GB"/>
        </w:rPr>
        <w:t>that t</w:t>
      </w:r>
      <w:r w:rsidR="00843CFE" w:rsidRPr="00473C61">
        <w:rPr>
          <w:rFonts w:ascii="Times New Roman" w:hAnsi="Times New Roman"/>
          <w:sz w:val="24"/>
          <w:szCs w:val="24"/>
        </w:rPr>
        <w:t xml:space="preserve">here </w:t>
      </w:r>
      <w:r w:rsidR="00BA4E75" w:rsidRPr="00473C61">
        <w:rPr>
          <w:rFonts w:ascii="Times New Roman" w:hAnsi="Times New Roman"/>
          <w:sz w:val="24"/>
          <w:szCs w:val="24"/>
        </w:rPr>
        <w:t xml:space="preserve">is </w:t>
      </w:r>
      <w:r w:rsidR="00AF279C" w:rsidRPr="00473C61">
        <w:rPr>
          <w:rFonts w:ascii="Times New Roman" w:hAnsi="Times New Roman"/>
          <w:sz w:val="24"/>
          <w:szCs w:val="24"/>
        </w:rPr>
        <w:t xml:space="preserve">a </w:t>
      </w:r>
      <w:r w:rsidR="00BA4E75" w:rsidRPr="00473C61">
        <w:rPr>
          <w:rFonts w:ascii="Times New Roman" w:hAnsi="Times New Roman"/>
          <w:sz w:val="24"/>
          <w:szCs w:val="24"/>
        </w:rPr>
        <w:t xml:space="preserve">strong </w:t>
      </w:r>
      <w:r w:rsidR="00843CFE" w:rsidRPr="00473C61">
        <w:rPr>
          <w:rFonts w:ascii="Times New Roman" w:hAnsi="Times New Roman"/>
          <w:sz w:val="24"/>
          <w:szCs w:val="24"/>
        </w:rPr>
        <w:t xml:space="preserve">case for </w:t>
      </w:r>
      <w:r w:rsidR="00BA4E75" w:rsidRPr="00473C61">
        <w:rPr>
          <w:rFonts w:ascii="Times New Roman" w:hAnsi="Times New Roman"/>
          <w:sz w:val="24"/>
          <w:szCs w:val="24"/>
        </w:rPr>
        <w:t xml:space="preserve">UK </w:t>
      </w:r>
      <w:r w:rsidR="00843CFE" w:rsidRPr="00473C61">
        <w:rPr>
          <w:rFonts w:ascii="Times New Roman" w:hAnsi="Times New Roman"/>
          <w:sz w:val="24"/>
          <w:szCs w:val="24"/>
        </w:rPr>
        <w:t>policymakers to consider U.S. style legislatio</w:t>
      </w:r>
      <w:r w:rsidR="009F79E2" w:rsidRPr="00473C61">
        <w:rPr>
          <w:rFonts w:ascii="Times New Roman" w:hAnsi="Times New Roman"/>
          <w:sz w:val="24"/>
          <w:szCs w:val="24"/>
        </w:rPr>
        <w:t xml:space="preserve">n to </w:t>
      </w:r>
      <w:r w:rsidR="00E446D6" w:rsidRPr="00473C61">
        <w:rPr>
          <w:rFonts w:ascii="Times New Roman" w:hAnsi="Times New Roman"/>
          <w:sz w:val="24"/>
          <w:szCs w:val="24"/>
        </w:rPr>
        <w:t xml:space="preserve">monitor the lending behavior of banks so as to </w:t>
      </w:r>
      <w:r w:rsidR="00BA4E75" w:rsidRPr="00473C61">
        <w:rPr>
          <w:rFonts w:ascii="Times New Roman" w:hAnsi="Times New Roman"/>
          <w:sz w:val="24"/>
          <w:szCs w:val="24"/>
        </w:rPr>
        <w:t>ensure that any non-economic barriers to obtaining household credit are removed.</w:t>
      </w:r>
    </w:p>
    <w:p w:rsidR="003733BE" w:rsidRPr="00473C61" w:rsidRDefault="003733BE" w:rsidP="003733BE">
      <w:pPr>
        <w:autoSpaceDE w:val="0"/>
        <w:autoSpaceDN w:val="0"/>
        <w:adjustRightInd w:val="0"/>
        <w:spacing w:after="0" w:line="480" w:lineRule="auto"/>
        <w:jc w:val="both"/>
        <w:rPr>
          <w:rFonts w:ascii="Times New Roman" w:hAnsi="Times New Roman"/>
          <w:lang w:val="en-GB"/>
        </w:rPr>
      </w:pPr>
    </w:p>
    <w:p w:rsidR="00E864F1" w:rsidRPr="00473C61" w:rsidRDefault="00E864F1">
      <w:pPr>
        <w:spacing w:after="0" w:line="240" w:lineRule="auto"/>
        <w:rPr>
          <w:rFonts w:ascii="Times New Roman" w:hAnsi="Times New Roman"/>
          <w:b/>
          <w:sz w:val="24"/>
          <w:szCs w:val="24"/>
          <w:lang w:val="en-GB"/>
        </w:rPr>
      </w:pPr>
      <w:r w:rsidRPr="00473C61">
        <w:rPr>
          <w:rFonts w:ascii="Times New Roman" w:hAnsi="Times New Roman"/>
          <w:b/>
          <w:sz w:val="24"/>
          <w:szCs w:val="24"/>
          <w:lang w:val="en-GB"/>
        </w:rPr>
        <w:br w:type="page"/>
      </w:r>
    </w:p>
    <w:p w:rsidR="004E1B96" w:rsidRPr="00473C61" w:rsidRDefault="00E864F1">
      <w:pPr>
        <w:spacing w:line="360" w:lineRule="auto"/>
        <w:rPr>
          <w:rFonts w:ascii="Times New Roman" w:hAnsi="Times New Roman"/>
          <w:b/>
          <w:sz w:val="24"/>
          <w:szCs w:val="24"/>
          <w:lang w:val="en-GB"/>
        </w:rPr>
      </w:pPr>
      <w:r w:rsidRPr="00473C61">
        <w:rPr>
          <w:rFonts w:ascii="Times New Roman" w:hAnsi="Times New Roman"/>
          <w:b/>
          <w:sz w:val="24"/>
          <w:szCs w:val="24"/>
          <w:lang w:val="en-GB"/>
        </w:rPr>
        <w:lastRenderedPageBreak/>
        <w:t>REFERENCES</w:t>
      </w:r>
    </w:p>
    <w:p w:rsidR="00926F3F" w:rsidRPr="00473C61" w:rsidRDefault="00926F3F" w:rsidP="00926F3F">
      <w:pPr>
        <w:jc w:val="both"/>
        <w:rPr>
          <w:rFonts w:ascii="Times New Roman" w:hAnsi="Times New Roman"/>
          <w:bCs/>
          <w:sz w:val="24"/>
          <w:szCs w:val="24"/>
        </w:rPr>
      </w:pPr>
      <w:r w:rsidRPr="00473C61">
        <w:rPr>
          <w:rFonts w:ascii="Times New Roman" w:hAnsi="Times New Roman"/>
          <w:sz w:val="24"/>
          <w:szCs w:val="24"/>
        </w:rPr>
        <w:t>Anson, J., Berthaud, A., Klapper, L., Singer, D</w:t>
      </w:r>
      <w:r w:rsidR="00E864F1" w:rsidRPr="00473C61">
        <w:rPr>
          <w:rFonts w:ascii="Times New Roman" w:hAnsi="Times New Roman"/>
          <w:sz w:val="24"/>
          <w:szCs w:val="24"/>
        </w:rPr>
        <w:t xml:space="preserve">., </w:t>
      </w:r>
      <w:r w:rsidRPr="00473C61">
        <w:rPr>
          <w:rFonts w:ascii="Times New Roman" w:hAnsi="Times New Roman"/>
          <w:sz w:val="24"/>
          <w:szCs w:val="24"/>
        </w:rPr>
        <w:t>2013</w:t>
      </w:r>
      <w:r w:rsidR="00E864F1" w:rsidRPr="00473C61">
        <w:rPr>
          <w:rFonts w:ascii="Times New Roman" w:hAnsi="Times New Roman"/>
          <w:sz w:val="24"/>
          <w:szCs w:val="24"/>
        </w:rPr>
        <w:t>.</w:t>
      </w:r>
      <w:r w:rsidRPr="00473C61">
        <w:rPr>
          <w:rFonts w:ascii="Times New Roman" w:hAnsi="Times New Roman"/>
          <w:sz w:val="24"/>
          <w:szCs w:val="24"/>
        </w:rPr>
        <w:t xml:space="preserve"> </w:t>
      </w:r>
      <w:r w:rsidRPr="00473C61">
        <w:rPr>
          <w:rFonts w:ascii="Times New Roman" w:hAnsi="Times New Roman"/>
          <w:bCs/>
          <w:sz w:val="24"/>
          <w:szCs w:val="24"/>
        </w:rPr>
        <w:t xml:space="preserve">Financial inclusion </w:t>
      </w:r>
      <w:r w:rsidR="00E864F1" w:rsidRPr="00473C61">
        <w:rPr>
          <w:rFonts w:ascii="Times New Roman" w:hAnsi="Times New Roman"/>
          <w:bCs/>
          <w:sz w:val="24"/>
          <w:szCs w:val="24"/>
        </w:rPr>
        <w:t>and the role of the post office.</w:t>
      </w:r>
      <w:r w:rsidRPr="00473C61">
        <w:rPr>
          <w:rFonts w:ascii="Times New Roman" w:hAnsi="Times New Roman"/>
          <w:bCs/>
          <w:sz w:val="24"/>
          <w:szCs w:val="24"/>
        </w:rPr>
        <w:t xml:space="preserve"> World Bank Policy Research </w:t>
      </w:r>
      <w:r w:rsidR="00E864F1" w:rsidRPr="00473C61">
        <w:rPr>
          <w:rFonts w:ascii="Times New Roman" w:hAnsi="Times New Roman"/>
          <w:bCs/>
          <w:sz w:val="24"/>
          <w:szCs w:val="24"/>
        </w:rPr>
        <w:t xml:space="preserve">Working Paper No 6630, </w:t>
      </w:r>
      <w:r w:rsidRPr="00473C61">
        <w:rPr>
          <w:rFonts w:ascii="Times New Roman" w:hAnsi="Times New Roman"/>
          <w:bCs/>
          <w:sz w:val="24"/>
          <w:szCs w:val="24"/>
        </w:rPr>
        <w:t>Washington DC: World Bank</w:t>
      </w:r>
    </w:p>
    <w:p w:rsidR="004E1B96" w:rsidRPr="00473C61" w:rsidRDefault="006826D0" w:rsidP="00311CEB">
      <w:pPr>
        <w:spacing w:before="240" w:after="0" w:line="240" w:lineRule="auto"/>
        <w:jc w:val="both"/>
        <w:rPr>
          <w:rFonts w:ascii="Times New Roman" w:hAnsi="Times New Roman"/>
          <w:sz w:val="24"/>
          <w:szCs w:val="24"/>
        </w:rPr>
      </w:pPr>
      <w:r w:rsidRPr="00473C61">
        <w:rPr>
          <w:rFonts w:ascii="Times New Roman" w:hAnsi="Times New Roman"/>
          <w:sz w:val="24"/>
          <w:szCs w:val="24"/>
          <w:lang w:val="de-DE"/>
        </w:rPr>
        <w:t>Ayres, I</w:t>
      </w:r>
      <w:r w:rsidR="00843D4D" w:rsidRPr="00473C61">
        <w:rPr>
          <w:rFonts w:ascii="Times New Roman" w:hAnsi="Times New Roman"/>
          <w:sz w:val="24"/>
          <w:szCs w:val="24"/>
          <w:lang w:val="de-DE"/>
        </w:rPr>
        <w:t>.</w:t>
      </w:r>
      <w:r w:rsidR="0066660C" w:rsidRPr="00473C61">
        <w:rPr>
          <w:rFonts w:ascii="Times New Roman" w:hAnsi="Times New Roman"/>
          <w:sz w:val="24"/>
          <w:szCs w:val="24"/>
          <w:lang w:val="de-DE"/>
        </w:rPr>
        <w:t xml:space="preserve">, </w:t>
      </w:r>
      <w:r w:rsidRPr="00473C61">
        <w:rPr>
          <w:rFonts w:ascii="Times New Roman" w:hAnsi="Times New Roman"/>
          <w:sz w:val="24"/>
          <w:szCs w:val="24"/>
          <w:lang w:val="de-DE"/>
        </w:rPr>
        <w:t>Siegelman</w:t>
      </w:r>
      <w:r w:rsidR="005C6760" w:rsidRPr="00473C61">
        <w:rPr>
          <w:rFonts w:ascii="Times New Roman" w:hAnsi="Times New Roman"/>
          <w:sz w:val="24"/>
          <w:szCs w:val="24"/>
          <w:lang w:val="de-DE"/>
        </w:rPr>
        <w:t>,</w:t>
      </w:r>
      <w:r w:rsidR="00843D4D" w:rsidRPr="00473C61">
        <w:rPr>
          <w:rFonts w:ascii="Times New Roman" w:hAnsi="Times New Roman"/>
          <w:sz w:val="24"/>
          <w:szCs w:val="24"/>
          <w:lang w:val="de-DE"/>
        </w:rPr>
        <w:t xml:space="preserve"> P.</w:t>
      </w:r>
      <w:r w:rsidR="0066660C" w:rsidRPr="00473C61">
        <w:rPr>
          <w:rFonts w:ascii="Times New Roman" w:hAnsi="Times New Roman"/>
          <w:sz w:val="24"/>
          <w:szCs w:val="24"/>
          <w:lang w:val="de-DE"/>
        </w:rPr>
        <w:t>,</w:t>
      </w:r>
      <w:r w:rsidRPr="00473C61">
        <w:rPr>
          <w:rFonts w:ascii="Times New Roman" w:hAnsi="Times New Roman"/>
          <w:sz w:val="24"/>
          <w:szCs w:val="24"/>
          <w:lang w:val="de-DE"/>
        </w:rPr>
        <w:t xml:space="preserve"> 1995. </w:t>
      </w:r>
      <w:r w:rsidR="005C6760" w:rsidRPr="00473C61">
        <w:rPr>
          <w:rFonts w:ascii="Times New Roman" w:hAnsi="Times New Roman"/>
          <w:sz w:val="24"/>
          <w:szCs w:val="24"/>
        </w:rPr>
        <w:t>Race and gender discrimination in bargaining for a new car</w:t>
      </w:r>
      <w:r w:rsidR="0066660C" w:rsidRPr="00473C61">
        <w:rPr>
          <w:rFonts w:ascii="Times New Roman" w:hAnsi="Times New Roman"/>
          <w:sz w:val="24"/>
          <w:szCs w:val="24"/>
        </w:rPr>
        <w:t>.</w:t>
      </w:r>
      <w:r w:rsidRPr="00473C61">
        <w:rPr>
          <w:rFonts w:ascii="Times New Roman" w:hAnsi="Times New Roman"/>
          <w:sz w:val="24"/>
          <w:szCs w:val="24"/>
        </w:rPr>
        <w:t xml:space="preserve"> </w:t>
      </w:r>
      <w:r w:rsidR="00A410B2" w:rsidRPr="00473C61">
        <w:rPr>
          <w:rFonts w:ascii="Times New Roman" w:hAnsi="Times New Roman"/>
          <w:sz w:val="24"/>
          <w:szCs w:val="24"/>
        </w:rPr>
        <w:t>American Economic Review</w:t>
      </w:r>
      <w:r w:rsidR="00D1302F" w:rsidRPr="00473C61">
        <w:rPr>
          <w:rFonts w:ascii="Times New Roman" w:hAnsi="Times New Roman"/>
          <w:sz w:val="24"/>
          <w:szCs w:val="24"/>
        </w:rPr>
        <w:t xml:space="preserve"> </w:t>
      </w:r>
      <w:r w:rsidR="0066660C" w:rsidRPr="00473C61">
        <w:rPr>
          <w:rFonts w:ascii="Times New Roman" w:hAnsi="Times New Roman"/>
          <w:sz w:val="24"/>
          <w:szCs w:val="24"/>
        </w:rPr>
        <w:t>85,</w:t>
      </w:r>
      <w:r w:rsidR="00D1302F" w:rsidRPr="00473C61">
        <w:rPr>
          <w:rFonts w:ascii="Times New Roman" w:hAnsi="Times New Roman"/>
          <w:sz w:val="24"/>
          <w:szCs w:val="24"/>
        </w:rPr>
        <w:t xml:space="preserve"> </w:t>
      </w:r>
      <w:r w:rsidRPr="00473C61">
        <w:rPr>
          <w:rFonts w:ascii="Times New Roman" w:hAnsi="Times New Roman"/>
          <w:sz w:val="24"/>
          <w:szCs w:val="24"/>
        </w:rPr>
        <w:t>304-</w:t>
      </w:r>
      <w:r w:rsidR="0066660C" w:rsidRPr="00473C61">
        <w:rPr>
          <w:rFonts w:ascii="Times New Roman" w:hAnsi="Times New Roman"/>
          <w:sz w:val="24"/>
          <w:szCs w:val="24"/>
        </w:rPr>
        <w:t>3</w:t>
      </w:r>
      <w:r w:rsidRPr="00473C61">
        <w:rPr>
          <w:rFonts w:ascii="Times New Roman" w:hAnsi="Times New Roman"/>
          <w:sz w:val="24"/>
          <w:szCs w:val="24"/>
        </w:rPr>
        <w:t>21.</w:t>
      </w:r>
    </w:p>
    <w:p w:rsidR="004E1B96" w:rsidRPr="00473C61" w:rsidRDefault="005B5C87" w:rsidP="00311CEB">
      <w:pPr>
        <w:spacing w:before="240" w:after="0" w:line="240" w:lineRule="auto"/>
        <w:jc w:val="both"/>
        <w:rPr>
          <w:rFonts w:ascii="Times New Roman" w:hAnsi="Times New Roman"/>
          <w:sz w:val="24"/>
          <w:szCs w:val="24"/>
        </w:rPr>
      </w:pPr>
      <w:r w:rsidRPr="00473C61">
        <w:rPr>
          <w:rFonts w:ascii="Times New Roman" w:hAnsi="Times New Roman"/>
          <w:sz w:val="24"/>
          <w:szCs w:val="24"/>
        </w:rPr>
        <w:t>Beck, T</w:t>
      </w:r>
      <w:r w:rsidR="0066660C" w:rsidRPr="00473C61">
        <w:rPr>
          <w:rFonts w:ascii="Times New Roman" w:hAnsi="Times New Roman"/>
          <w:sz w:val="24"/>
          <w:szCs w:val="24"/>
        </w:rPr>
        <w:t xml:space="preserve">., </w:t>
      </w:r>
      <w:r w:rsidRPr="00473C61">
        <w:rPr>
          <w:rFonts w:ascii="Times New Roman" w:hAnsi="Times New Roman"/>
          <w:sz w:val="24"/>
          <w:szCs w:val="24"/>
        </w:rPr>
        <w:t>Demirgüc-Kunt, A.</w:t>
      </w:r>
      <w:r w:rsidR="0066660C" w:rsidRPr="00473C61">
        <w:rPr>
          <w:rFonts w:ascii="Times New Roman" w:hAnsi="Times New Roman"/>
          <w:sz w:val="24"/>
          <w:szCs w:val="24"/>
        </w:rPr>
        <w:t>,</w:t>
      </w:r>
      <w:r w:rsidRPr="00473C61">
        <w:rPr>
          <w:rFonts w:ascii="Times New Roman" w:hAnsi="Times New Roman"/>
          <w:sz w:val="24"/>
          <w:szCs w:val="24"/>
        </w:rPr>
        <w:t xml:space="preserve"> 2008. Access </w:t>
      </w:r>
      <w:r w:rsidR="005C6760" w:rsidRPr="00473C61">
        <w:rPr>
          <w:rFonts w:ascii="Times New Roman" w:hAnsi="Times New Roman"/>
          <w:sz w:val="24"/>
          <w:szCs w:val="24"/>
        </w:rPr>
        <w:t>t</w:t>
      </w:r>
      <w:r w:rsidR="0066660C" w:rsidRPr="00473C61">
        <w:rPr>
          <w:rFonts w:ascii="Times New Roman" w:hAnsi="Times New Roman"/>
          <w:sz w:val="24"/>
          <w:szCs w:val="24"/>
        </w:rPr>
        <w:t>o finance: an unfinished agenda.</w:t>
      </w:r>
      <w:r w:rsidRPr="00473C61">
        <w:rPr>
          <w:rFonts w:ascii="Times New Roman" w:hAnsi="Times New Roman"/>
          <w:sz w:val="24"/>
          <w:szCs w:val="24"/>
        </w:rPr>
        <w:t xml:space="preserve"> </w:t>
      </w:r>
      <w:r w:rsidR="00A410B2" w:rsidRPr="00473C61">
        <w:rPr>
          <w:rFonts w:ascii="Times New Roman" w:hAnsi="Times New Roman"/>
          <w:sz w:val="24"/>
          <w:szCs w:val="24"/>
        </w:rPr>
        <w:t>World Bank Economic Review</w:t>
      </w:r>
      <w:r w:rsidR="005C6760" w:rsidRPr="00473C61">
        <w:rPr>
          <w:rFonts w:ascii="Times New Roman" w:hAnsi="Times New Roman"/>
          <w:sz w:val="24"/>
          <w:szCs w:val="24"/>
        </w:rPr>
        <w:t xml:space="preserve"> </w:t>
      </w:r>
      <w:r w:rsidR="0066660C" w:rsidRPr="00473C61">
        <w:rPr>
          <w:rFonts w:ascii="Times New Roman" w:hAnsi="Times New Roman"/>
          <w:sz w:val="24"/>
          <w:szCs w:val="24"/>
        </w:rPr>
        <w:t>22,</w:t>
      </w:r>
      <w:r w:rsidR="005C6760" w:rsidRPr="00473C61">
        <w:rPr>
          <w:rFonts w:ascii="Times New Roman" w:hAnsi="Times New Roman"/>
          <w:sz w:val="24"/>
          <w:szCs w:val="24"/>
        </w:rPr>
        <w:t xml:space="preserve"> </w:t>
      </w:r>
      <w:r w:rsidRPr="00473C61">
        <w:rPr>
          <w:rFonts w:ascii="Times New Roman" w:hAnsi="Times New Roman"/>
          <w:sz w:val="24"/>
          <w:szCs w:val="24"/>
        </w:rPr>
        <w:t>383-</w:t>
      </w:r>
      <w:r w:rsidR="0066660C" w:rsidRPr="00473C61">
        <w:rPr>
          <w:rFonts w:ascii="Times New Roman" w:hAnsi="Times New Roman"/>
          <w:sz w:val="24"/>
          <w:szCs w:val="24"/>
        </w:rPr>
        <w:t>3</w:t>
      </w:r>
      <w:r w:rsidRPr="00473C61">
        <w:rPr>
          <w:rFonts w:ascii="Times New Roman" w:hAnsi="Times New Roman"/>
          <w:sz w:val="24"/>
          <w:szCs w:val="24"/>
        </w:rPr>
        <w:t>96.</w:t>
      </w:r>
    </w:p>
    <w:p w:rsidR="007B4A37" w:rsidRPr="00473C61" w:rsidRDefault="007B4A37" w:rsidP="00311CEB">
      <w:pPr>
        <w:spacing w:before="240" w:after="0" w:line="240" w:lineRule="auto"/>
        <w:jc w:val="both"/>
        <w:rPr>
          <w:rFonts w:ascii="Times New Roman" w:hAnsi="Times New Roman"/>
          <w:sz w:val="24"/>
          <w:szCs w:val="24"/>
        </w:rPr>
      </w:pPr>
      <w:r w:rsidRPr="00473C61">
        <w:rPr>
          <w:rFonts w:ascii="Times New Roman" w:hAnsi="Times New Roman"/>
          <w:sz w:val="24"/>
          <w:szCs w:val="24"/>
        </w:rPr>
        <w:t>Becker, G.S., 1971. The Economics of Discrimination. Chicago: University of Chicago Press.</w:t>
      </w:r>
    </w:p>
    <w:p w:rsidR="004E1B96" w:rsidRPr="00473C61" w:rsidRDefault="0066660C" w:rsidP="00311CEB">
      <w:pPr>
        <w:spacing w:before="240" w:after="0" w:line="240" w:lineRule="auto"/>
        <w:jc w:val="both"/>
        <w:rPr>
          <w:rFonts w:ascii="Times New Roman" w:hAnsi="Times New Roman"/>
          <w:sz w:val="24"/>
          <w:szCs w:val="24"/>
        </w:rPr>
      </w:pPr>
      <w:r w:rsidRPr="00473C61">
        <w:rPr>
          <w:rFonts w:ascii="Times New Roman" w:hAnsi="Times New Roman"/>
          <w:sz w:val="24"/>
          <w:szCs w:val="24"/>
        </w:rPr>
        <w:t>Berkovec, J.</w:t>
      </w:r>
      <w:r w:rsidR="006826D0" w:rsidRPr="00473C61">
        <w:rPr>
          <w:rFonts w:ascii="Times New Roman" w:hAnsi="Times New Roman"/>
          <w:sz w:val="24"/>
          <w:szCs w:val="24"/>
        </w:rPr>
        <w:t xml:space="preserve">A., Canner, </w:t>
      </w:r>
      <w:r w:rsidR="00843D4D" w:rsidRPr="00473C61">
        <w:rPr>
          <w:rFonts w:ascii="Times New Roman" w:hAnsi="Times New Roman"/>
          <w:sz w:val="24"/>
          <w:szCs w:val="24"/>
        </w:rPr>
        <w:t xml:space="preserve">G.B., </w:t>
      </w:r>
      <w:r w:rsidR="006826D0" w:rsidRPr="00473C61">
        <w:rPr>
          <w:rFonts w:ascii="Times New Roman" w:hAnsi="Times New Roman"/>
          <w:sz w:val="24"/>
          <w:szCs w:val="24"/>
        </w:rPr>
        <w:t>Gabriel</w:t>
      </w:r>
      <w:r w:rsidR="00843D4D" w:rsidRPr="00473C61">
        <w:rPr>
          <w:rFonts w:ascii="Times New Roman" w:hAnsi="Times New Roman"/>
          <w:sz w:val="24"/>
          <w:szCs w:val="24"/>
        </w:rPr>
        <w:t>, S.A.</w:t>
      </w:r>
      <w:r w:rsidRPr="00473C61">
        <w:rPr>
          <w:rFonts w:ascii="Times New Roman" w:hAnsi="Times New Roman"/>
          <w:sz w:val="24"/>
          <w:szCs w:val="24"/>
        </w:rPr>
        <w:t xml:space="preserve">, </w:t>
      </w:r>
      <w:r w:rsidR="006826D0" w:rsidRPr="00473C61">
        <w:rPr>
          <w:rFonts w:ascii="Times New Roman" w:hAnsi="Times New Roman"/>
          <w:sz w:val="24"/>
          <w:szCs w:val="24"/>
        </w:rPr>
        <w:t>Hannan</w:t>
      </w:r>
      <w:r w:rsidR="00843D4D" w:rsidRPr="00473C61">
        <w:rPr>
          <w:rFonts w:ascii="Times New Roman" w:hAnsi="Times New Roman"/>
          <w:sz w:val="24"/>
          <w:szCs w:val="24"/>
        </w:rPr>
        <w:t>, T.H.</w:t>
      </w:r>
      <w:r w:rsidRPr="00473C61">
        <w:rPr>
          <w:rFonts w:ascii="Times New Roman" w:hAnsi="Times New Roman"/>
          <w:sz w:val="24"/>
          <w:szCs w:val="24"/>
        </w:rPr>
        <w:t>,</w:t>
      </w:r>
      <w:r w:rsidR="00843D4D" w:rsidRPr="00473C61">
        <w:rPr>
          <w:rFonts w:ascii="Times New Roman" w:hAnsi="Times New Roman"/>
          <w:sz w:val="24"/>
          <w:szCs w:val="24"/>
        </w:rPr>
        <w:t xml:space="preserve"> 1996</w:t>
      </w:r>
      <w:r w:rsidR="006826D0" w:rsidRPr="00473C61">
        <w:rPr>
          <w:rFonts w:ascii="Times New Roman" w:hAnsi="Times New Roman"/>
          <w:sz w:val="24"/>
          <w:szCs w:val="24"/>
        </w:rPr>
        <w:t>. Mortgage</w:t>
      </w:r>
      <w:r w:rsidR="00843D4D" w:rsidRPr="00473C61">
        <w:rPr>
          <w:rFonts w:ascii="Times New Roman" w:hAnsi="Times New Roman"/>
          <w:sz w:val="24"/>
          <w:szCs w:val="24"/>
        </w:rPr>
        <w:t xml:space="preserve"> </w:t>
      </w:r>
      <w:r w:rsidR="003A335C" w:rsidRPr="00473C61">
        <w:rPr>
          <w:rFonts w:ascii="Times New Roman" w:hAnsi="Times New Roman"/>
          <w:sz w:val="24"/>
          <w:szCs w:val="24"/>
        </w:rPr>
        <w:t>d</w:t>
      </w:r>
      <w:r w:rsidR="006826D0" w:rsidRPr="00473C61">
        <w:rPr>
          <w:rFonts w:ascii="Times New Roman" w:hAnsi="Times New Roman"/>
          <w:sz w:val="24"/>
          <w:szCs w:val="24"/>
        </w:rPr>
        <w:t xml:space="preserve">iscrimination and FHA </w:t>
      </w:r>
      <w:r w:rsidR="003A335C" w:rsidRPr="00473C61">
        <w:rPr>
          <w:rFonts w:ascii="Times New Roman" w:hAnsi="Times New Roman"/>
          <w:sz w:val="24"/>
          <w:szCs w:val="24"/>
        </w:rPr>
        <w:t>l</w:t>
      </w:r>
      <w:r w:rsidR="006826D0" w:rsidRPr="00473C61">
        <w:rPr>
          <w:rFonts w:ascii="Times New Roman" w:hAnsi="Times New Roman"/>
          <w:sz w:val="24"/>
          <w:szCs w:val="24"/>
        </w:rPr>
        <w:t xml:space="preserve">oan </w:t>
      </w:r>
      <w:r w:rsidR="003A335C" w:rsidRPr="00473C61">
        <w:rPr>
          <w:rFonts w:ascii="Times New Roman" w:hAnsi="Times New Roman"/>
          <w:sz w:val="24"/>
          <w:szCs w:val="24"/>
        </w:rPr>
        <w:t>p</w:t>
      </w:r>
      <w:r w:rsidRPr="00473C61">
        <w:rPr>
          <w:rFonts w:ascii="Times New Roman" w:hAnsi="Times New Roman"/>
          <w:sz w:val="24"/>
          <w:szCs w:val="24"/>
        </w:rPr>
        <w:t>erformance.</w:t>
      </w:r>
      <w:r w:rsidR="00A410B2" w:rsidRPr="00473C61">
        <w:rPr>
          <w:rFonts w:ascii="Times New Roman" w:hAnsi="Times New Roman"/>
          <w:sz w:val="24"/>
          <w:szCs w:val="24"/>
        </w:rPr>
        <w:t xml:space="preserve"> Journal of Policy Development and Research</w:t>
      </w:r>
      <w:r w:rsidR="00843D4D" w:rsidRPr="00473C61">
        <w:rPr>
          <w:rFonts w:ascii="Times New Roman" w:hAnsi="Times New Roman"/>
          <w:sz w:val="24"/>
          <w:szCs w:val="24"/>
        </w:rPr>
        <w:t xml:space="preserve"> 2</w:t>
      </w:r>
      <w:r w:rsidR="006826D0" w:rsidRPr="00473C61">
        <w:rPr>
          <w:rFonts w:ascii="Times New Roman" w:hAnsi="Times New Roman"/>
          <w:sz w:val="24"/>
          <w:szCs w:val="24"/>
        </w:rPr>
        <w:t>,</w:t>
      </w:r>
      <w:r w:rsidR="00843D4D" w:rsidRPr="00473C61">
        <w:rPr>
          <w:rFonts w:ascii="Times New Roman" w:hAnsi="Times New Roman"/>
          <w:sz w:val="24"/>
          <w:szCs w:val="24"/>
        </w:rPr>
        <w:t xml:space="preserve"> </w:t>
      </w:r>
      <w:r w:rsidR="006826D0" w:rsidRPr="00473C61">
        <w:rPr>
          <w:rFonts w:ascii="Times New Roman" w:hAnsi="Times New Roman"/>
          <w:sz w:val="24"/>
          <w:szCs w:val="24"/>
        </w:rPr>
        <w:t>9-24.</w:t>
      </w:r>
    </w:p>
    <w:p w:rsidR="004E1B96" w:rsidRPr="00473C61" w:rsidRDefault="00843D4D" w:rsidP="00311CEB">
      <w:pPr>
        <w:spacing w:before="240" w:after="0" w:line="240" w:lineRule="auto"/>
        <w:jc w:val="both"/>
        <w:rPr>
          <w:rFonts w:ascii="Times New Roman" w:hAnsi="Times New Roman"/>
          <w:sz w:val="24"/>
          <w:szCs w:val="24"/>
        </w:rPr>
      </w:pPr>
      <w:r w:rsidRPr="00473C61">
        <w:rPr>
          <w:rFonts w:ascii="Times New Roman" w:hAnsi="Times New Roman"/>
          <w:sz w:val="24"/>
          <w:szCs w:val="24"/>
        </w:rPr>
        <w:t>Berkovec, J.A., Canner, G.B., Gabriel, S.A., Hannan, T.H.</w:t>
      </w:r>
      <w:r w:rsidR="0066660C" w:rsidRPr="00473C61">
        <w:rPr>
          <w:rFonts w:ascii="Times New Roman" w:hAnsi="Times New Roman"/>
          <w:sz w:val="24"/>
          <w:szCs w:val="24"/>
        </w:rPr>
        <w:t>,</w:t>
      </w:r>
      <w:r w:rsidRPr="00473C61">
        <w:rPr>
          <w:rFonts w:ascii="Times New Roman" w:hAnsi="Times New Roman"/>
          <w:sz w:val="24"/>
          <w:szCs w:val="24"/>
        </w:rPr>
        <w:t xml:space="preserve"> 1998. </w:t>
      </w:r>
      <w:r w:rsidR="006826D0" w:rsidRPr="00473C61">
        <w:rPr>
          <w:rFonts w:ascii="Times New Roman" w:hAnsi="Times New Roman"/>
          <w:sz w:val="24"/>
          <w:szCs w:val="24"/>
        </w:rPr>
        <w:t>Discrimination,</w:t>
      </w:r>
      <w:r w:rsidR="00BA31C1" w:rsidRPr="00473C61">
        <w:rPr>
          <w:rFonts w:ascii="Times New Roman" w:hAnsi="Times New Roman"/>
          <w:sz w:val="24"/>
          <w:szCs w:val="24"/>
        </w:rPr>
        <w:t xml:space="preserve"> </w:t>
      </w:r>
      <w:r w:rsidR="003A335C" w:rsidRPr="00473C61">
        <w:rPr>
          <w:rFonts w:ascii="Times New Roman" w:hAnsi="Times New Roman"/>
          <w:sz w:val="24"/>
          <w:szCs w:val="24"/>
        </w:rPr>
        <w:t>competition</w:t>
      </w:r>
      <w:r w:rsidR="006826D0" w:rsidRPr="00473C61">
        <w:rPr>
          <w:rFonts w:ascii="Times New Roman" w:hAnsi="Times New Roman"/>
          <w:sz w:val="24"/>
          <w:szCs w:val="24"/>
        </w:rPr>
        <w:t xml:space="preserve">, and </w:t>
      </w:r>
      <w:r w:rsidR="003A335C" w:rsidRPr="00473C61">
        <w:rPr>
          <w:rFonts w:ascii="Times New Roman" w:hAnsi="Times New Roman"/>
          <w:sz w:val="24"/>
          <w:szCs w:val="24"/>
        </w:rPr>
        <w:t xml:space="preserve">loan performance </w:t>
      </w:r>
      <w:r w:rsidR="006826D0" w:rsidRPr="00473C61">
        <w:rPr>
          <w:rFonts w:ascii="Times New Roman" w:hAnsi="Times New Roman"/>
          <w:sz w:val="24"/>
          <w:szCs w:val="24"/>
        </w:rPr>
        <w:t xml:space="preserve">in FHA </w:t>
      </w:r>
      <w:r w:rsidR="003A335C" w:rsidRPr="00473C61">
        <w:rPr>
          <w:rFonts w:ascii="Times New Roman" w:hAnsi="Times New Roman"/>
          <w:sz w:val="24"/>
          <w:szCs w:val="24"/>
        </w:rPr>
        <w:t>mortgage lending</w:t>
      </w:r>
      <w:r w:rsidR="0066660C" w:rsidRPr="00473C61">
        <w:rPr>
          <w:rFonts w:ascii="Times New Roman" w:hAnsi="Times New Roman"/>
          <w:sz w:val="24"/>
          <w:szCs w:val="24"/>
        </w:rPr>
        <w:t>.</w:t>
      </w:r>
      <w:r w:rsidR="006826D0" w:rsidRPr="00473C61">
        <w:rPr>
          <w:rFonts w:ascii="Times New Roman" w:hAnsi="Times New Roman"/>
          <w:sz w:val="24"/>
          <w:szCs w:val="24"/>
        </w:rPr>
        <w:t xml:space="preserve"> </w:t>
      </w:r>
      <w:r w:rsidR="00A410B2" w:rsidRPr="00473C61">
        <w:rPr>
          <w:rFonts w:ascii="Times New Roman" w:hAnsi="Times New Roman"/>
          <w:sz w:val="24"/>
          <w:szCs w:val="24"/>
        </w:rPr>
        <w:t>The Review of Economics and Statistics</w:t>
      </w:r>
      <w:r w:rsidR="003A335C" w:rsidRPr="00473C61">
        <w:rPr>
          <w:rFonts w:ascii="Times New Roman" w:hAnsi="Times New Roman"/>
          <w:sz w:val="24"/>
          <w:szCs w:val="24"/>
        </w:rPr>
        <w:t xml:space="preserve"> </w:t>
      </w:r>
      <w:r w:rsidR="006826D0" w:rsidRPr="00473C61">
        <w:rPr>
          <w:rFonts w:ascii="Times New Roman" w:hAnsi="Times New Roman"/>
          <w:sz w:val="24"/>
          <w:szCs w:val="24"/>
        </w:rPr>
        <w:t>80, 241-</w:t>
      </w:r>
      <w:r w:rsidR="0066660C" w:rsidRPr="00473C61">
        <w:rPr>
          <w:rFonts w:ascii="Times New Roman" w:hAnsi="Times New Roman"/>
          <w:sz w:val="24"/>
          <w:szCs w:val="24"/>
        </w:rPr>
        <w:t>2</w:t>
      </w:r>
      <w:r w:rsidR="006826D0" w:rsidRPr="00473C61">
        <w:rPr>
          <w:rFonts w:ascii="Times New Roman" w:hAnsi="Times New Roman"/>
          <w:sz w:val="24"/>
          <w:szCs w:val="24"/>
        </w:rPr>
        <w:t>50.</w:t>
      </w:r>
    </w:p>
    <w:p w:rsidR="004E1B96" w:rsidRPr="00473C61" w:rsidRDefault="006826D0" w:rsidP="00311CEB">
      <w:pPr>
        <w:spacing w:before="240" w:after="0" w:line="240" w:lineRule="auto"/>
        <w:jc w:val="both"/>
        <w:rPr>
          <w:rFonts w:ascii="Times New Roman" w:hAnsi="Times New Roman"/>
          <w:sz w:val="24"/>
          <w:szCs w:val="24"/>
        </w:rPr>
      </w:pPr>
      <w:r w:rsidRPr="00473C61">
        <w:rPr>
          <w:rFonts w:ascii="Times New Roman" w:hAnsi="Times New Roman"/>
          <w:sz w:val="24"/>
          <w:szCs w:val="24"/>
        </w:rPr>
        <w:t xml:space="preserve">Benston </w:t>
      </w:r>
      <w:r w:rsidR="00BA31C1" w:rsidRPr="00473C61">
        <w:rPr>
          <w:rFonts w:ascii="Times New Roman" w:hAnsi="Times New Roman"/>
          <w:sz w:val="24"/>
          <w:szCs w:val="24"/>
        </w:rPr>
        <w:t>,</w:t>
      </w:r>
      <w:r w:rsidRPr="00473C61">
        <w:rPr>
          <w:rFonts w:ascii="Times New Roman" w:hAnsi="Times New Roman"/>
          <w:sz w:val="24"/>
          <w:szCs w:val="24"/>
        </w:rPr>
        <w:t>G</w:t>
      </w:r>
      <w:r w:rsidR="00BA31C1" w:rsidRPr="00473C61">
        <w:rPr>
          <w:rFonts w:ascii="Times New Roman" w:hAnsi="Times New Roman"/>
          <w:sz w:val="24"/>
          <w:szCs w:val="24"/>
        </w:rPr>
        <w:t>.</w:t>
      </w:r>
      <w:r w:rsidRPr="00473C61">
        <w:rPr>
          <w:rFonts w:ascii="Times New Roman" w:hAnsi="Times New Roman"/>
          <w:sz w:val="24"/>
          <w:szCs w:val="24"/>
        </w:rPr>
        <w:t>J</w:t>
      </w:r>
      <w:r w:rsidR="00BA31C1" w:rsidRPr="00473C61">
        <w:rPr>
          <w:rFonts w:ascii="Times New Roman" w:hAnsi="Times New Roman"/>
          <w:sz w:val="24"/>
          <w:szCs w:val="24"/>
        </w:rPr>
        <w:t>.</w:t>
      </w:r>
      <w:r w:rsidRPr="00473C61">
        <w:rPr>
          <w:rFonts w:ascii="Times New Roman" w:hAnsi="Times New Roman"/>
          <w:sz w:val="24"/>
          <w:szCs w:val="24"/>
        </w:rPr>
        <w:t xml:space="preserve"> Horsky</w:t>
      </w:r>
      <w:r w:rsidR="003A335C" w:rsidRPr="00473C61">
        <w:rPr>
          <w:rFonts w:ascii="Times New Roman" w:hAnsi="Times New Roman"/>
          <w:sz w:val="24"/>
          <w:szCs w:val="24"/>
        </w:rPr>
        <w:t>,</w:t>
      </w:r>
      <w:r w:rsidRPr="00473C61">
        <w:rPr>
          <w:rFonts w:ascii="Times New Roman" w:hAnsi="Times New Roman"/>
          <w:sz w:val="24"/>
          <w:szCs w:val="24"/>
        </w:rPr>
        <w:t xml:space="preserve"> D.</w:t>
      </w:r>
      <w:r w:rsidR="0066660C" w:rsidRPr="00473C61">
        <w:rPr>
          <w:rFonts w:ascii="Times New Roman" w:hAnsi="Times New Roman"/>
          <w:sz w:val="24"/>
          <w:szCs w:val="24"/>
        </w:rPr>
        <w:t>,</w:t>
      </w:r>
      <w:r w:rsidR="00203B60" w:rsidRPr="00473C61">
        <w:rPr>
          <w:rFonts w:ascii="Times New Roman" w:hAnsi="Times New Roman"/>
          <w:sz w:val="24"/>
          <w:szCs w:val="24"/>
        </w:rPr>
        <w:t xml:space="preserve"> 1992</w:t>
      </w:r>
      <w:r w:rsidRPr="00473C61">
        <w:rPr>
          <w:rFonts w:ascii="Times New Roman" w:hAnsi="Times New Roman"/>
          <w:sz w:val="24"/>
          <w:szCs w:val="24"/>
        </w:rPr>
        <w:t>. The relationship between the demand and supply of home financing and neighborhood characteristics: an empirical study of mortgage redlining</w:t>
      </w:r>
      <w:r w:rsidR="0066660C" w:rsidRPr="00473C61">
        <w:rPr>
          <w:rFonts w:ascii="Times New Roman" w:hAnsi="Times New Roman"/>
          <w:sz w:val="24"/>
          <w:szCs w:val="24"/>
        </w:rPr>
        <w:t>.</w:t>
      </w:r>
      <w:r w:rsidRPr="00473C61">
        <w:rPr>
          <w:rFonts w:ascii="Times New Roman" w:hAnsi="Times New Roman"/>
          <w:sz w:val="24"/>
          <w:szCs w:val="24"/>
        </w:rPr>
        <w:t xml:space="preserve"> </w:t>
      </w:r>
      <w:r w:rsidR="00A410B2" w:rsidRPr="00473C61">
        <w:rPr>
          <w:rFonts w:ascii="Times New Roman" w:hAnsi="Times New Roman"/>
          <w:sz w:val="24"/>
          <w:szCs w:val="24"/>
        </w:rPr>
        <w:t>Journal of Financial Services Research</w:t>
      </w:r>
      <w:r w:rsidR="006E244F" w:rsidRPr="00473C61">
        <w:rPr>
          <w:rFonts w:ascii="Times New Roman" w:hAnsi="Times New Roman"/>
          <w:sz w:val="24"/>
          <w:szCs w:val="24"/>
        </w:rPr>
        <w:t xml:space="preserve"> </w:t>
      </w:r>
      <w:r w:rsidR="00BA31C1" w:rsidRPr="00473C61">
        <w:rPr>
          <w:rFonts w:ascii="Times New Roman" w:hAnsi="Times New Roman"/>
          <w:sz w:val="24"/>
          <w:szCs w:val="24"/>
        </w:rPr>
        <w:t>5,</w:t>
      </w:r>
      <w:r w:rsidR="006E244F" w:rsidRPr="00473C61">
        <w:rPr>
          <w:rFonts w:ascii="Times New Roman" w:hAnsi="Times New Roman"/>
          <w:sz w:val="24"/>
          <w:szCs w:val="24"/>
        </w:rPr>
        <w:t xml:space="preserve"> </w:t>
      </w:r>
      <w:r w:rsidRPr="00473C61">
        <w:rPr>
          <w:rFonts w:ascii="Times New Roman" w:hAnsi="Times New Roman"/>
          <w:sz w:val="24"/>
          <w:szCs w:val="24"/>
        </w:rPr>
        <w:t>235</w:t>
      </w:r>
      <w:r w:rsidR="006E244F" w:rsidRPr="00473C61">
        <w:rPr>
          <w:rFonts w:ascii="Times New Roman" w:hAnsi="Times New Roman"/>
          <w:sz w:val="24"/>
          <w:szCs w:val="24"/>
        </w:rPr>
        <w:t>-</w:t>
      </w:r>
      <w:r w:rsidR="0066660C" w:rsidRPr="00473C61">
        <w:rPr>
          <w:rFonts w:ascii="Times New Roman" w:hAnsi="Times New Roman"/>
          <w:sz w:val="24"/>
          <w:szCs w:val="24"/>
        </w:rPr>
        <w:t>2</w:t>
      </w:r>
      <w:r w:rsidRPr="00473C61">
        <w:rPr>
          <w:rFonts w:ascii="Times New Roman" w:hAnsi="Times New Roman"/>
          <w:sz w:val="24"/>
          <w:szCs w:val="24"/>
        </w:rPr>
        <w:t>60</w:t>
      </w:r>
      <w:r w:rsidR="006E244F" w:rsidRPr="00473C61">
        <w:rPr>
          <w:rFonts w:ascii="Times New Roman" w:hAnsi="Times New Roman"/>
          <w:sz w:val="24"/>
          <w:szCs w:val="24"/>
        </w:rPr>
        <w:t>.</w:t>
      </w:r>
    </w:p>
    <w:p w:rsidR="004E1B96" w:rsidRPr="00473C61" w:rsidRDefault="006826D0" w:rsidP="00311CEB">
      <w:pPr>
        <w:spacing w:before="240" w:after="0" w:line="240" w:lineRule="auto"/>
        <w:jc w:val="both"/>
        <w:rPr>
          <w:rFonts w:ascii="Times New Roman" w:hAnsi="Times New Roman"/>
          <w:sz w:val="24"/>
          <w:szCs w:val="24"/>
        </w:rPr>
      </w:pPr>
      <w:r w:rsidRPr="00473C61">
        <w:rPr>
          <w:rFonts w:ascii="Times New Roman" w:hAnsi="Times New Roman"/>
          <w:sz w:val="24"/>
          <w:szCs w:val="24"/>
          <w:lang w:val="de-DE"/>
        </w:rPr>
        <w:t xml:space="preserve">Black, </w:t>
      </w:r>
      <w:r w:rsidR="004F183E" w:rsidRPr="00473C61">
        <w:rPr>
          <w:rFonts w:ascii="Times New Roman" w:hAnsi="Times New Roman"/>
          <w:sz w:val="24"/>
          <w:szCs w:val="24"/>
          <w:lang w:val="de-DE"/>
        </w:rPr>
        <w:t>A.</w:t>
      </w:r>
      <w:r w:rsidRPr="00473C61">
        <w:rPr>
          <w:rFonts w:ascii="Times New Roman" w:hAnsi="Times New Roman"/>
          <w:sz w:val="24"/>
          <w:szCs w:val="24"/>
          <w:lang w:val="de-DE"/>
        </w:rPr>
        <w:t>H., Schweitzer, R.L</w:t>
      </w:r>
      <w:r w:rsidR="00BA31C1" w:rsidRPr="00473C61">
        <w:rPr>
          <w:rFonts w:ascii="Times New Roman" w:hAnsi="Times New Roman"/>
          <w:sz w:val="24"/>
          <w:szCs w:val="24"/>
          <w:lang w:val="de-DE"/>
        </w:rPr>
        <w:t>.</w:t>
      </w:r>
      <w:r w:rsidR="00681EE1" w:rsidRPr="00473C61">
        <w:rPr>
          <w:rFonts w:ascii="Times New Roman" w:hAnsi="Times New Roman"/>
          <w:sz w:val="24"/>
          <w:szCs w:val="24"/>
          <w:lang w:val="de-DE"/>
        </w:rPr>
        <w:t xml:space="preserve">, </w:t>
      </w:r>
      <w:r w:rsidRPr="00473C61">
        <w:rPr>
          <w:rFonts w:ascii="Times New Roman" w:hAnsi="Times New Roman"/>
          <w:sz w:val="24"/>
          <w:szCs w:val="24"/>
          <w:lang w:val="de-DE"/>
        </w:rPr>
        <w:t>Mandell, L</w:t>
      </w:r>
      <w:r w:rsidR="00BA31C1" w:rsidRPr="00473C61">
        <w:rPr>
          <w:rFonts w:ascii="Times New Roman" w:hAnsi="Times New Roman"/>
          <w:sz w:val="24"/>
          <w:szCs w:val="24"/>
          <w:lang w:val="de-DE"/>
        </w:rPr>
        <w:t>.</w:t>
      </w:r>
      <w:r w:rsidR="00681EE1" w:rsidRPr="00473C61">
        <w:rPr>
          <w:rFonts w:ascii="Times New Roman" w:hAnsi="Times New Roman"/>
          <w:sz w:val="24"/>
          <w:szCs w:val="24"/>
          <w:lang w:val="de-DE"/>
        </w:rPr>
        <w:t>,</w:t>
      </w:r>
      <w:r w:rsidR="00BA31C1" w:rsidRPr="00473C61">
        <w:rPr>
          <w:rFonts w:ascii="Times New Roman" w:hAnsi="Times New Roman"/>
          <w:sz w:val="24"/>
          <w:szCs w:val="24"/>
          <w:lang w:val="de-DE"/>
        </w:rPr>
        <w:t xml:space="preserve"> </w:t>
      </w:r>
      <w:r w:rsidRPr="00473C61">
        <w:rPr>
          <w:rFonts w:ascii="Times New Roman" w:hAnsi="Times New Roman"/>
          <w:sz w:val="24"/>
          <w:szCs w:val="24"/>
          <w:lang w:val="de-DE"/>
        </w:rPr>
        <w:t>1978</w:t>
      </w:r>
      <w:r w:rsidR="00BA31C1" w:rsidRPr="00473C61">
        <w:rPr>
          <w:rFonts w:ascii="Times New Roman" w:hAnsi="Times New Roman"/>
          <w:sz w:val="24"/>
          <w:szCs w:val="24"/>
          <w:lang w:val="de-DE"/>
        </w:rPr>
        <w:t>.</w:t>
      </w:r>
      <w:r w:rsidRPr="00473C61">
        <w:rPr>
          <w:rFonts w:ascii="Times New Roman" w:hAnsi="Times New Roman"/>
          <w:sz w:val="24"/>
          <w:szCs w:val="24"/>
          <w:lang w:val="de-DE"/>
        </w:rPr>
        <w:t xml:space="preserve"> </w:t>
      </w:r>
      <w:r w:rsidRPr="00473C61">
        <w:rPr>
          <w:rFonts w:ascii="Times New Roman" w:hAnsi="Times New Roman"/>
          <w:sz w:val="24"/>
          <w:szCs w:val="24"/>
        </w:rPr>
        <w:t>Discrimination in mortgage lending</w:t>
      </w:r>
      <w:r w:rsidR="00681EE1" w:rsidRPr="00473C61">
        <w:rPr>
          <w:rFonts w:ascii="Times New Roman" w:hAnsi="Times New Roman"/>
          <w:sz w:val="24"/>
          <w:szCs w:val="24"/>
        </w:rPr>
        <w:t>.</w:t>
      </w:r>
      <w:r w:rsidRPr="00473C61">
        <w:rPr>
          <w:rFonts w:ascii="Times New Roman" w:hAnsi="Times New Roman"/>
          <w:sz w:val="24"/>
          <w:szCs w:val="24"/>
        </w:rPr>
        <w:t xml:space="preserve"> </w:t>
      </w:r>
      <w:r w:rsidR="00A410B2" w:rsidRPr="00473C61">
        <w:rPr>
          <w:rFonts w:ascii="Times New Roman" w:hAnsi="Times New Roman"/>
          <w:sz w:val="24"/>
          <w:szCs w:val="24"/>
        </w:rPr>
        <w:t>American Economic Review</w:t>
      </w:r>
      <w:r w:rsidR="006E244F" w:rsidRPr="00473C61">
        <w:rPr>
          <w:rFonts w:ascii="Times New Roman" w:hAnsi="Times New Roman"/>
          <w:sz w:val="24"/>
          <w:szCs w:val="24"/>
        </w:rPr>
        <w:t xml:space="preserve"> </w:t>
      </w:r>
      <w:r w:rsidRPr="00473C61">
        <w:rPr>
          <w:rFonts w:ascii="Times New Roman" w:hAnsi="Times New Roman"/>
          <w:sz w:val="24"/>
          <w:szCs w:val="24"/>
        </w:rPr>
        <w:t>68, 186-191</w:t>
      </w:r>
      <w:r w:rsidR="006E244F" w:rsidRPr="00473C61">
        <w:rPr>
          <w:rFonts w:ascii="Times New Roman" w:hAnsi="Times New Roman"/>
          <w:sz w:val="24"/>
          <w:szCs w:val="24"/>
        </w:rPr>
        <w:t>.</w:t>
      </w:r>
    </w:p>
    <w:p w:rsidR="00704DC7" w:rsidRPr="00473C61" w:rsidRDefault="00673124" w:rsidP="00311CEB">
      <w:pPr>
        <w:spacing w:before="240" w:after="0" w:line="240" w:lineRule="auto"/>
        <w:jc w:val="both"/>
        <w:rPr>
          <w:rFonts w:ascii="Times New Roman" w:hAnsi="Times New Roman"/>
          <w:sz w:val="24"/>
          <w:szCs w:val="24"/>
        </w:rPr>
      </w:pPr>
      <w:r w:rsidRPr="00473C61">
        <w:rPr>
          <w:rFonts w:ascii="Times New Roman" w:hAnsi="Times New Roman"/>
          <w:sz w:val="24"/>
          <w:szCs w:val="24"/>
          <w:lang w:val="de-DE"/>
        </w:rPr>
        <w:t>Black, A.H, Thomas, P.B.</w:t>
      </w:r>
      <w:r w:rsidR="00681EE1" w:rsidRPr="00473C61">
        <w:rPr>
          <w:rFonts w:ascii="Times New Roman" w:hAnsi="Times New Roman"/>
          <w:sz w:val="24"/>
          <w:szCs w:val="24"/>
          <w:lang w:val="de-DE"/>
        </w:rPr>
        <w:t>,</w:t>
      </w:r>
      <w:r w:rsidRPr="00473C61">
        <w:rPr>
          <w:rFonts w:ascii="Times New Roman" w:hAnsi="Times New Roman"/>
          <w:sz w:val="24"/>
          <w:szCs w:val="24"/>
          <w:lang w:val="de-DE"/>
        </w:rPr>
        <w:t xml:space="preserve"> DeGennaro, R.P.</w:t>
      </w:r>
      <w:r w:rsidR="00681EE1" w:rsidRPr="00473C61">
        <w:rPr>
          <w:rFonts w:ascii="Times New Roman" w:hAnsi="Times New Roman"/>
          <w:sz w:val="24"/>
          <w:szCs w:val="24"/>
          <w:lang w:val="de-DE"/>
        </w:rPr>
        <w:t>,</w:t>
      </w:r>
      <w:r w:rsidRPr="00473C61">
        <w:rPr>
          <w:rFonts w:ascii="Times New Roman" w:hAnsi="Times New Roman"/>
          <w:sz w:val="24"/>
          <w:szCs w:val="24"/>
          <w:lang w:val="de-DE"/>
        </w:rPr>
        <w:t xml:space="preserve"> 2003</w:t>
      </w:r>
      <w:r w:rsidR="00681EE1" w:rsidRPr="00473C61">
        <w:rPr>
          <w:rFonts w:ascii="Times New Roman" w:hAnsi="Times New Roman"/>
          <w:sz w:val="24"/>
          <w:szCs w:val="24"/>
          <w:lang w:val="de-DE"/>
        </w:rPr>
        <w:t>.</w:t>
      </w:r>
      <w:r w:rsidRPr="00473C61">
        <w:rPr>
          <w:rFonts w:ascii="Times New Roman" w:hAnsi="Times New Roman"/>
          <w:sz w:val="24"/>
          <w:szCs w:val="24"/>
          <w:lang w:val="de-DE"/>
        </w:rPr>
        <w:t xml:space="preserve"> Is there discrimination in mortgage pricing? The case of overages</w:t>
      </w:r>
      <w:r w:rsidR="00681EE1" w:rsidRPr="00473C61">
        <w:rPr>
          <w:rFonts w:ascii="Times New Roman" w:hAnsi="Times New Roman"/>
          <w:sz w:val="24"/>
          <w:szCs w:val="24"/>
          <w:lang w:val="de-DE"/>
        </w:rPr>
        <w:t>.</w:t>
      </w:r>
      <w:r w:rsidRPr="00473C61">
        <w:rPr>
          <w:rFonts w:ascii="Times New Roman" w:hAnsi="Times New Roman"/>
          <w:sz w:val="24"/>
          <w:szCs w:val="24"/>
        </w:rPr>
        <w:t xml:space="preserve"> </w:t>
      </w:r>
      <w:r w:rsidR="00B61A5F" w:rsidRPr="00473C61">
        <w:rPr>
          <w:rFonts w:ascii="Times New Roman" w:hAnsi="Times New Roman"/>
          <w:sz w:val="24"/>
          <w:szCs w:val="24"/>
        </w:rPr>
        <w:t>Journal of Banking and</w:t>
      </w:r>
      <w:r w:rsidRPr="00473C61">
        <w:rPr>
          <w:rFonts w:ascii="Times New Roman" w:hAnsi="Times New Roman"/>
          <w:sz w:val="24"/>
          <w:szCs w:val="24"/>
        </w:rPr>
        <w:t xml:space="preserve"> Finance 276, 1139-1165.</w:t>
      </w:r>
    </w:p>
    <w:p w:rsidR="00704DC7" w:rsidRPr="00473C61" w:rsidRDefault="00704DC7" w:rsidP="00311CEB">
      <w:pPr>
        <w:spacing w:before="240" w:after="0" w:line="240" w:lineRule="auto"/>
        <w:jc w:val="both"/>
        <w:rPr>
          <w:rFonts w:ascii="Times New Roman" w:hAnsi="Times New Roman"/>
          <w:sz w:val="24"/>
          <w:szCs w:val="24"/>
          <w:lang w:val="de-DE"/>
        </w:rPr>
      </w:pPr>
      <w:r w:rsidRPr="00473C61">
        <w:rPr>
          <w:rFonts w:ascii="Times New Roman" w:hAnsi="Times New Roman"/>
          <w:sz w:val="24"/>
          <w:szCs w:val="24"/>
          <w:lang w:val="de-DE"/>
        </w:rPr>
        <w:t xml:space="preserve">Bucks, B.K., Kennickell, A.B., Mach, T.L. and Moore, K.B., 2009. Changes in U.S. Family Finances from 2004 to 2007: Evidence from the Survey of Consumer Finances. Federal Reserve Bulletin 95 (2), 1-56. </w:t>
      </w:r>
    </w:p>
    <w:p w:rsidR="004E1B96" w:rsidRPr="00473C61" w:rsidRDefault="00851247" w:rsidP="00311CEB">
      <w:pPr>
        <w:spacing w:before="240" w:after="0" w:line="240" w:lineRule="auto"/>
        <w:jc w:val="both"/>
        <w:rPr>
          <w:rFonts w:ascii="Times New Roman" w:hAnsi="Times New Roman"/>
          <w:sz w:val="24"/>
          <w:szCs w:val="24"/>
        </w:rPr>
      </w:pPr>
      <w:r w:rsidRPr="00473C61">
        <w:rPr>
          <w:rFonts w:ascii="Times New Roman" w:hAnsi="Times New Roman"/>
          <w:sz w:val="24"/>
          <w:szCs w:val="24"/>
          <w:lang w:val="de-DE"/>
        </w:rPr>
        <w:t>Calem</w:t>
      </w:r>
      <w:r w:rsidR="00BA31C1" w:rsidRPr="00473C61">
        <w:rPr>
          <w:rFonts w:ascii="Times New Roman" w:hAnsi="Times New Roman"/>
          <w:sz w:val="24"/>
          <w:szCs w:val="24"/>
          <w:lang w:val="de-DE"/>
        </w:rPr>
        <w:t>,</w:t>
      </w:r>
      <w:r w:rsidRPr="00473C61">
        <w:rPr>
          <w:rFonts w:ascii="Times New Roman" w:hAnsi="Times New Roman"/>
          <w:sz w:val="24"/>
          <w:szCs w:val="24"/>
          <w:lang w:val="de-DE"/>
        </w:rPr>
        <w:t xml:space="preserve"> P</w:t>
      </w:r>
      <w:r w:rsidR="00BA31C1" w:rsidRPr="00473C61">
        <w:rPr>
          <w:rFonts w:ascii="Times New Roman" w:hAnsi="Times New Roman"/>
          <w:sz w:val="24"/>
          <w:szCs w:val="24"/>
          <w:lang w:val="de-DE"/>
        </w:rPr>
        <w:t>.</w:t>
      </w:r>
      <w:r w:rsidRPr="00473C61">
        <w:rPr>
          <w:rFonts w:ascii="Times New Roman" w:hAnsi="Times New Roman"/>
          <w:sz w:val="24"/>
          <w:szCs w:val="24"/>
          <w:lang w:val="de-DE"/>
        </w:rPr>
        <w:t>S</w:t>
      </w:r>
      <w:r w:rsidR="00BA31C1" w:rsidRPr="00473C61">
        <w:rPr>
          <w:rFonts w:ascii="Times New Roman" w:hAnsi="Times New Roman"/>
          <w:sz w:val="24"/>
          <w:szCs w:val="24"/>
          <w:lang w:val="de-DE"/>
        </w:rPr>
        <w:t>.</w:t>
      </w:r>
      <w:r w:rsidRPr="00473C61">
        <w:rPr>
          <w:rFonts w:ascii="Times New Roman" w:hAnsi="Times New Roman"/>
          <w:sz w:val="24"/>
          <w:szCs w:val="24"/>
          <w:lang w:val="de-DE"/>
        </w:rPr>
        <w:t>, Gillen K</w:t>
      </w:r>
      <w:r w:rsidR="00BA31C1" w:rsidRPr="00473C61">
        <w:rPr>
          <w:rFonts w:ascii="Times New Roman" w:hAnsi="Times New Roman"/>
          <w:sz w:val="24"/>
          <w:szCs w:val="24"/>
          <w:lang w:val="de-DE"/>
        </w:rPr>
        <w:t>.</w:t>
      </w:r>
      <w:r w:rsidRPr="00473C61">
        <w:rPr>
          <w:rFonts w:ascii="Times New Roman" w:hAnsi="Times New Roman"/>
          <w:sz w:val="24"/>
          <w:szCs w:val="24"/>
          <w:lang w:val="de-DE"/>
        </w:rPr>
        <w:t>, Wachter S.</w:t>
      </w:r>
      <w:r w:rsidR="00681EE1" w:rsidRPr="00473C61">
        <w:rPr>
          <w:rFonts w:ascii="Times New Roman" w:hAnsi="Times New Roman"/>
          <w:sz w:val="24"/>
          <w:szCs w:val="24"/>
          <w:lang w:val="de-DE"/>
        </w:rPr>
        <w:t>,</w:t>
      </w:r>
      <w:r w:rsidRPr="00473C61">
        <w:rPr>
          <w:rFonts w:ascii="Times New Roman" w:hAnsi="Times New Roman"/>
          <w:sz w:val="24"/>
          <w:szCs w:val="24"/>
          <w:lang w:val="de-DE"/>
        </w:rPr>
        <w:t xml:space="preserve"> 2004. </w:t>
      </w:r>
      <w:r w:rsidRPr="00473C61">
        <w:rPr>
          <w:rFonts w:ascii="Times New Roman" w:hAnsi="Times New Roman"/>
          <w:sz w:val="24"/>
          <w:szCs w:val="24"/>
        </w:rPr>
        <w:t>The neighborhood distribution of subprime mortgage</w:t>
      </w:r>
      <w:r w:rsidR="00BA31C1" w:rsidRPr="00473C61">
        <w:rPr>
          <w:rFonts w:ascii="Times New Roman" w:hAnsi="Times New Roman"/>
          <w:sz w:val="24"/>
          <w:szCs w:val="24"/>
        </w:rPr>
        <w:t xml:space="preserve"> </w:t>
      </w:r>
      <w:r w:rsidRPr="00473C61">
        <w:rPr>
          <w:rFonts w:ascii="Times New Roman" w:hAnsi="Times New Roman"/>
          <w:sz w:val="24"/>
          <w:szCs w:val="24"/>
        </w:rPr>
        <w:t xml:space="preserve">lending. </w:t>
      </w:r>
      <w:r w:rsidR="00A410B2" w:rsidRPr="00473C61">
        <w:rPr>
          <w:rFonts w:ascii="Times New Roman" w:hAnsi="Times New Roman"/>
          <w:sz w:val="24"/>
          <w:szCs w:val="24"/>
        </w:rPr>
        <w:t>Journal of Real Estate Finance and Economics</w:t>
      </w:r>
      <w:r w:rsidR="00D43A6E" w:rsidRPr="00473C61">
        <w:rPr>
          <w:rFonts w:ascii="Times New Roman" w:hAnsi="Times New Roman"/>
          <w:sz w:val="24"/>
          <w:szCs w:val="24"/>
        </w:rPr>
        <w:t xml:space="preserve"> </w:t>
      </w:r>
      <w:r w:rsidR="00BA31C1" w:rsidRPr="00473C61">
        <w:rPr>
          <w:rFonts w:ascii="Times New Roman" w:hAnsi="Times New Roman"/>
          <w:sz w:val="24"/>
          <w:szCs w:val="24"/>
        </w:rPr>
        <w:t>29,</w:t>
      </w:r>
      <w:r w:rsidR="00D43A6E" w:rsidRPr="00473C61">
        <w:rPr>
          <w:rFonts w:ascii="Times New Roman" w:hAnsi="Times New Roman"/>
          <w:sz w:val="24"/>
          <w:szCs w:val="24"/>
        </w:rPr>
        <w:t xml:space="preserve"> </w:t>
      </w:r>
      <w:r w:rsidRPr="00473C61">
        <w:rPr>
          <w:rFonts w:ascii="Times New Roman" w:hAnsi="Times New Roman"/>
          <w:sz w:val="24"/>
          <w:szCs w:val="24"/>
        </w:rPr>
        <w:t>393–410</w:t>
      </w:r>
      <w:r w:rsidR="00D43A6E" w:rsidRPr="00473C61">
        <w:rPr>
          <w:rFonts w:ascii="Times New Roman" w:hAnsi="Times New Roman"/>
          <w:sz w:val="24"/>
          <w:szCs w:val="24"/>
        </w:rPr>
        <w:t>.</w:t>
      </w:r>
    </w:p>
    <w:p w:rsidR="004E1B96" w:rsidRPr="00473C61" w:rsidRDefault="005B5C87" w:rsidP="00311CEB">
      <w:pPr>
        <w:pStyle w:val="PreformattatoHTML"/>
        <w:spacing w:before="240"/>
        <w:jc w:val="both"/>
        <w:rPr>
          <w:rFonts w:ascii="Times New Roman" w:hAnsi="Times New Roman" w:cs="Times New Roman"/>
          <w:sz w:val="24"/>
          <w:szCs w:val="24"/>
        </w:rPr>
      </w:pPr>
      <w:r w:rsidRPr="00473C61">
        <w:rPr>
          <w:rFonts w:ascii="Times New Roman" w:hAnsi="Times New Roman" w:cs="Times New Roman"/>
          <w:sz w:val="24"/>
          <w:szCs w:val="24"/>
          <w:lang w:val="fr-FR"/>
        </w:rPr>
        <w:t>Carbo, S., Gardener, E.</w:t>
      </w:r>
      <w:r w:rsidR="00681EE1" w:rsidRPr="00473C61">
        <w:rPr>
          <w:rFonts w:ascii="Times New Roman" w:hAnsi="Times New Roman" w:cs="Times New Roman"/>
          <w:sz w:val="24"/>
          <w:szCs w:val="24"/>
          <w:lang w:val="fr-FR"/>
        </w:rPr>
        <w:t>,</w:t>
      </w:r>
      <w:r w:rsidRPr="00473C61">
        <w:rPr>
          <w:rFonts w:ascii="Times New Roman" w:hAnsi="Times New Roman" w:cs="Times New Roman"/>
          <w:sz w:val="24"/>
          <w:szCs w:val="24"/>
          <w:lang w:val="fr-FR"/>
        </w:rPr>
        <w:t xml:space="preserve"> Molyneux, P.</w:t>
      </w:r>
      <w:r w:rsidR="00681EE1" w:rsidRPr="00473C61">
        <w:rPr>
          <w:rFonts w:ascii="Times New Roman" w:hAnsi="Times New Roman" w:cs="Times New Roman"/>
          <w:sz w:val="24"/>
          <w:szCs w:val="24"/>
          <w:lang w:val="fr-FR"/>
        </w:rPr>
        <w:t>,</w:t>
      </w:r>
      <w:r w:rsidRPr="00473C61">
        <w:rPr>
          <w:rFonts w:ascii="Times New Roman" w:hAnsi="Times New Roman" w:cs="Times New Roman"/>
          <w:sz w:val="24"/>
          <w:szCs w:val="24"/>
          <w:lang w:val="fr-FR"/>
        </w:rPr>
        <w:t xml:space="preserve"> 2007. </w:t>
      </w:r>
      <w:r w:rsidRPr="00473C61">
        <w:rPr>
          <w:rFonts w:ascii="Times New Roman" w:hAnsi="Times New Roman" w:cs="Times New Roman"/>
          <w:sz w:val="24"/>
          <w:szCs w:val="24"/>
        </w:rPr>
        <w:t>Financial exclusion in Europe</w:t>
      </w:r>
      <w:r w:rsidR="00681EE1" w:rsidRPr="00473C61">
        <w:rPr>
          <w:rFonts w:ascii="Times New Roman" w:hAnsi="Times New Roman" w:cs="Times New Roman"/>
          <w:sz w:val="24"/>
          <w:szCs w:val="24"/>
        </w:rPr>
        <w:t>.</w:t>
      </w:r>
      <w:r w:rsidRPr="00473C61">
        <w:rPr>
          <w:rFonts w:ascii="Times New Roman" w:hAnsi="Times New Roman" w:cs="Times New Roman"/>
          <w:sz w:val="24"/>
          <w:szCs w:val="24"/>
        </w:rPr>
        <w:t xml:space="preserve"> </w:t>
      </w:r>
      <w:r w:rsidR="00A410B2" w:rsidRPr="00473C61">
        <w:rPr>
          <w:rFonts w:ascii="Times New Roman" w:hAnsi="Times New Roman" w:cs="Times New Roman"/>
          <w:sz w:val="24"/>
          <w:szCs w:val="24"/>
        </w:rPr>
        <w:t xml:space="preserve">Public Money </w:t>
      </w:r>
      <w:r w:rsidR="00681EE1" w:rsidRPr="00473C61">
        <w:rPr>
          <w:rFonts w:ascii="Times New Roman" w:hAnsi="Times New Roman" w:cs="Times New Roman"/>
          <w:sz w:val="24"/>
          <w:szCs w:val="24"/>
        </w:rPr>
        <w:t>and</w:t>
      </w:r>
      <w:r w:rsidR="00A410B2" w:rsidRPr="00473C61">
        <w:rPr>
          <w:rFonts w:ascii="Times New Roman" w:hAnsi="Times New Roman" w:cs="Times New Roman"/>
          <w:sz w:val="24"/>
          <w:szCs w:val="24"/>
        </w:rPr>
        <w:t xml:space="preserve"> Management</w:t>
      </w:r>
      <w:r w:rsidR="00D43A6E" w:rsidRPr="00473C61">
        <w:rPr>
          <w:rFonts w:ascii="Times New Roman" w:hAnsi="Times New Roman" w:cs="Times New Roman"/>
          <w:sz w:val="24"/>
          <w:szCs w:val="24"/>
        </w:rPr>
        <w:t xml:space="preserve"> </w:t>
      </w:r>
      <w:r w:rsidRPr="00473C61">
        <w:rPr>
          <w:rFonts w:ascii="Times New Roman" w:hAnsi="Times New Roman" w:cs="Times New Roman"/>
          <w:sz w:val="24"/>
          <w:szCs w:val="24"/>
        </w:rPr>
        <w:t>27, 21-45</w:t>
      </w:r>
      <w:r w:rsidR="00D43A6E" w:rsidRPr="00473C61">
        <w:rPr>
          <w:rFonts w:ascii="Times New Roman" w:hAnsi="Times New Roman" w:cs="Times New Roman"/>
          <w:sz w:val="24"/>
          <w:szCs w:val="24"/>
        </w:rPr>
        <w:t>.</w:t>
      </w:r>
    </w:p>
    <w:p w:rsidR="007B4A37" w:rsidRPr="00473C61" w:rsidRDefault="007B4A37" w:rsidP="00311CEB">
      <w:pPr>
        <w:pStyle w:val="PreformattatoHTML"/>
        <w:spacing w:before="240"/>
        <w:jc w:val="both"/>
        <w:rPr>
          <w:rFonts w:ascii="Times New Roman" w:hAnsi="Times New Roman" w:cs="Times New Roman"/>
          <w:sz w:val="24"/>
          <w:szCs w:val="24"/>
        </w:rPr>
      </w:pPr>
      <w:r w:rsidRPr="00473C61">
        <w:rPr>
          <w:rFonts w:ascii="Times New Roman" w:hAnsi="Times New Roman" w:cs="Times New Roman"/>
          <w:sz w:val="24"/>
          <w:szCs w:val="24"/>
        </w:rPr>
        <w:t>Cavalluzo, K.S., Cavalluzo L.C., Wolken, J.D., 2002. Competition, small business financing, and discrimination: evidence from a new survey. Journal of Business 75, 641-679.</w:t>
      </w:r>
    </w:p>
    <w:p w:rsidR="004E1B96" w:rsidRPr="00473C61" w:rsidRDefault="005B5C87" w:rsidP="00311CEB">
      <w:pPr>
        <w:pStyle w:val="PreformattatoHTML"/>
        <w:spacing w:before="240"/>
        <w:jc w:val="both"/>
        <w:rPr>
          <w:rFonts w:ascii="Times New Roman" w:hAnsi="Times New Roman" w:cs="Times New Roman"/>
          <w:sz w:val="24"/>
          <w:szCs w:val="24"/>
        </w:rPr>
      </w:pPr>
      <w:r w:rsidRPr="00473C61">
        <w:rPr>
          <w:rFonts w:ascii="Times New Roman" w:hAnsi="Times New Roman" w:cs="Times New Roman"/>
          <w:sz w:val="24"/>
          <w:szCs w:val="24"/>
        </w:rPr>
        <w:t>Claessens, S.</w:t>
      </w:r>
      <w:r w:rsidR="00681EE1" w:rsidRPr="00473C61">
        <w:rPr>
          <w:rFonts w:ascii="Times New Roman" w:hAnsi="Times New Roman" w:cs="Times New Roman"/>
          <w:sz w:val="24"/>
          <w:szCs w:val="24"/>
        </w:rPr>
        <w:t>,</w:t>
      </w:r>
      <w:r w:rsidR="00B6487F" w:rsidRPr="00473C61">
        <w:rPr>
          <w:rFonts w:ascii="Times New Roman" w:hAnsi="Times New Roman" w:cs="Times New Roman"/>
          <w:sz w:val="24"/>
          <w:szCs w:val="24"/>
        </w:rPr>
        <w:t xml:space="preserve"> 2006</w:t>
      </w:r>
      <w:r w:rsidRPr="00473C61">
        <w:rPr>
          <w:rFonts w:ascii="Times New Roman" w:hAnsi="Times New Roman" w:cs="Times New Roman"/>
          <w:sz w:val="24"/>
          <w:szCs w:val="24"/>
        </w:rPr>
        <w:t>. Access to financial services: a review of the issues and public policy objectives</w:t>
      </w:r>
      <w:r w:rsidR="00681EE1" w:rsidRPr="00473C61">
        <w:rPr>
          <w:rFonts w:ascii="Times New Roman" w:hAnsi="Times New Roman" w:cs="Times New Roman"/>
          <w:sz w:val="24"/>
          <w:szCs w:val="24"/>
        </w:rPr>
        <w:t>.</w:t>
      </w:r>
      <w:r w:rsidRPr="00473C61">
        <w:rPr>
          <w:rFonts w:ascii="Times New Roman" w:hAnsi="Times New Roman" w:cs="Times New Roman"/>
          <w:sz w:val="24"/>
          <w:szCs w:val="24"/>
        </w:rPr>
        <w:t xml:space="preserve"> </w:t>
      </w:r>
      <w:r w:rsidR="00A410B2" w:rsidRPr="00473C61">
        <w:rPr>
          <w:rFonts w:ascii="Times New Roman" w:hAnsi="Times New Roman" w:cs="Times New Roman"/>
          <w:sz w:val="24"/>
          <w:szCs w:val="24"/>
        </w:rPr>
        <w:t>World Bank Research Observer</w:t>
      </w:r>
      <w:r w:rsidR="008127DB" w:rsidRPr="00473C61">
        <w:rPr>
          <w:rFonts w:ascii="Times New Roman" w:hAnsi="Times New Roman" w:cs="Times New Roman"/>
          <w:sz w:val="24"/>
          <w:szCs w:val="24"/>
        </w:rPr>
        <w:t xml:space="preserve"> </w:t>
      </w:r>
      <w:r w:rsidRPr="00473C61">
        <w:rPr>
          <w:rFonts w:ascii="Times New Roman" w:hAnsi="Times New Roman" w:cs="Times New Roman"/>
          <w:sz w:val="24"/>
          <w:szCs w:val="24"/>
        </w:rPr>
        <w:t>21, 207-</w:t>
      </w:r>
      <w:r w:rsidR="00681EE1" w:rsidRPr="00473C61">
        <w:rPr>
          <w:rFonts w:ascii="Times New Roman" w:hAnsi="Times New Roman" w:cs="Times New Roman"/>
          <w:sz w:val="24"/>
          <w:szCs w:val="24"/>
        </w:rPr>
        <w:t>2</w:t>
      </w:r>
      <w:r w:rsidRPr="00473C61">
        <w:rPr>
          <w:rFonts w:ascii="Times New Roman" w:hAnsi="Times New Roman" w:cs="Times New Roman"/>
          <w:sz w:val="24"/>
          <w:szCs w:val="24"/>
        </w:rPr>
        <w:t xml:space="preserve">40. </w:t>
      </w:r>
    </w:p>
    <w:p w:rsidR="00E30D51" w:rsidRPr="00473C61" w:rsidRDefault="00E30D51" w:rsidP="00311CEB">
      <w:pPr>
        <w:pStyle w:val="PreformattatoHTML"/>
        <w:spacing w:before="240"/>
        <w:jc w:val="both"/>
        <w:rPr>
          <w:rFonts w:ascii="Times New Roman" w:hAnsi="Times New Roman" w:cs="Times New Roman"/>
          <w:sz w:val="24"/>
          <w:szCs w:val="24"/>
        </w:rPr>
      </w:pPr>
      <w:r w:rsidRPr="00473C61">
        <w:rPr>
          <w:rFonts w:ascii="Times New Roman" w:hAnsi="Times New Roman" w:cs="Times New Roman"/>
          <w:sz w:val="24"/>
          <w:szCs w:val="24"/>
        </w:rPr>
        <w:t xml:space="preserve">Clegg, N. (2011). ‘Nick Clegg targets racial 'ceiling' in banks and sport’, BBC news, </w:t>
      </w:r>
      <w:hyperlink r:id="rId11" w:history="1">
        <w:r w:rsidRPr="00473C61">
          <w:rPr>
            <w:rStyle w:val="Collegamentoipertestuale"/>
            <w:rFonts w:ascii="Times New Roman" w:hAnsi="Times New Roman"/>
            <w:color w:val="auto"/>
            <w:sz w:val="24"/>
            <w:szCs w:val="24"/>
          </w:rPr>
          <w:t>http://www.bbc.co.uk/news/uk-politics-15868844</w:t>
        </w:r>
      </w:hyperlink>
      <w:r w:rsidRPr="00473C61">
        <w:rPr>
          <w:rFonts w:ascii="Times New Roman" w:hAnsi="Times New Roman" w:cs="Times New Roman"/>
          <w:sz w:val="24"/>
          <w:szCs w:val="24"/>
        </w:rPr>
        <w:t xml:space="preserve"> (last accessed: 24 February 2014).</w:t>
      </w:r>
    </w:p>
    <w:p w:rsidR="004E1B96" w:rsidRPr="00473C61" w:rsidRDefault="00851247" w:rsidP="00311CEB">
      <w:pPr>
        <w:pStyle w:val="PreformattatoHTML"/>
        <w:spacing w:before="240"/>
        <w:jc w:val="both"/>
        <w:rPr>
          <w:rFonts w:ascii="Times New Roman" w:hAnsi="Times New Roman" w:cs="Times New Roman"/>
          <w:sz w:val="24"/>
          <w:szCs w:val="24"/>
        </w:rPr>
      </w:pPr>
      <w:r w:rsidRPr="00473C61">
        <w:rPr>
          <w:rFonts w:ascii="Times New Roman" w:hAnsi="Times New Roman" w:cs="Times New Roman"/>
          <w:sz w:val="24"/>
          <w:szCs w:val="24"/>
        </w:rPr>
        <w:lastRenderedPageBreak/>
        <w:t>Courchane, M</w:t>
      </w:r>
      <w:r w:rsidR="00681EE1" w:rsidRPr="00473C61">
        <w:rPr>
          <w:rFonts w:ascii="Times New Roman" w:hAnsi="Times New Roman" w:cs="Times New Roman"/>
          <w:sz w:val="24"/>
          <w:szCs w:val="24"/>
        </w:rPr>
        <w:t xml:space="preserve">.J., </w:t>
      </w:r>
      <w:r w:rsidRPr="00473C61">
        <w:rPr>
          <w:rFonts w:ascii="Times New Roman" w:hAnsi="Times New Roman" w:cs="Times New Roman"/>
          <w:sz w:val="24"/>
          <w:szCs w:val="24"/>
        </w:rPr>
        <w:t>Nickerson</w:t>
      </w:r>
      <w:r w:rsidR="00DD1426" w:rsidRPr="00473C61">
        <w:rPr>
          <w:rFonts w:ascii="Times New Roman" w:hAnsi="Times New Roman" w:cs="Times New Roman"/>
          <w:sz w:val="24"/>
          <w:szCs w:val="24"/>
        </w:rPr>
        <w:t>, D.</w:t>
      </w:r>
      <w:r w:rsidR="00681EE1" w:rsidRPr="00473C61">
        <w:rPr>
          <w:rFonts w:ascii="Times New Roman" w:hAnsi="Times New Roman" w:cs="Times New Roman"/>
          <w:sz w:val="24"/>
          <w:szCs w:val="24"/>
        </w:rPr>
        <w:t>,</w:t>
      </w:r>
      <w:r w:rsidR="00DD1426" w:rsidRPr="00473C61">
        <w:rPr>
          <w:rFonts w:ascii="Times New Roman" w:hAnsi="Times New Roman" w:cs="Times New Roman"/>
          <w:sz w:val="24"/>
          <w:szCs w:val="24"/>
        </w:rPr>
        <w:t xml:space="preserve"> 1997. </w:t>
      </w:r>
      <w:r w:rsidRPr="00473C61">
        <w:rPr>
          <w:rFonts w:ascii="Times New Roman" w:hAnsi="Times New Roman" w:cs="Times New Roman"/>
          <w:sz w:val="24"/>
          <w:szCs w:val="24"/>
        </w:rPr>
        <w:t xml:space="preserve">Discrimination </w:t>
      </w:r>
      <w:r w:rsidR="000F6869" w:rsidRPr="00473C61">
        <w:rPr>
          <w:rFonts w:ascii="Times New Roman" w:hAnsi="Times New Roman" w:cs="Times New Roman"/>
          <w:sz w:val="24"/>
          <w:szCs w:val="24"/>
        </w:rPr>
        <w:t>resulting from overage practices</w:t>
      </w:r>
      <w:r w:rsidR="00681EE1" w:rsidRPr="00473C61">
        <w:rPr>
          <w:rFonts w:ascii="Times New Roman" w:hAnsi="Times New Roman" w:cs="Times New Roman"/>
          <w:sz w:val="24"/>
          <w:szCs w:val="24"/>
        </w:rPr>
        <w:t>.</w:t>
      </w:r>
      <w:r w:rsidRPr="00473C61">
        <w:rPr>
          <w:rFonts w:ascii="Times New Roman" w:hAnsi="Times New Roman" w:cs="Times New Roman"/>
          <w:sz w:val="24"/>
          <w:szCs w:val="24"/>
        </w:rPr>
        <w:t xml:space="preserve"> </w:t>
      </w:r>
      <w:r w:rsidR="00A410B2" w:rsidRPr="00473C61">
        <w:rPr>
          <w:rFonts w:ascii="Times New Roman" w:hAnsi="Times New Roman" w:cs="Times New Roman"/>
          <w:sz w:val="24"/>
          <w:szCs w:val="24"/>
        </w:rPr>
        <w:t>Journal of Financial Services Research</w:t>
      </w:r>
      <w:r w:rsidR="000F6869" w:rsidRPr="00473C61">
        <w:rPr>
          <w:rFonts w:ascii="Times New Roman" w:hAnsi="Times New Roman" w:cs="Times New Roman"/>
          <w:sz w:val="24"/>
          <w:szCs w:val="24"/>
        </w:rPr>
        <w:t xml:space="preserve"> </w:t>
      </w:r>
      <w:r w:rsidRPr="00473C61">
        <w:rPr>
          <w:rFonts w:ascii="Times New Roman" w:hAnsi="Times New Roman" w:cs="Times New Roman"/>
          <w:sz w:val="24"/>
          <w:szCs w:val="24"/>
        </w:rPr>
        <w:t>11</w:t>
      </w:r>
      <w:r w:rsidR="00DD1426" w:rsidRPr="00473C61">
        <w:rPr>
          <w:rFonts w:ascii="Times New Roman" w:hAnsi="Times New Roman" w:cs="Times New Roman"/>
          <w:sz w:val="24"/>
          <w:szCs w:val="24"/>
        </w:rPr>
        <w:t xml:space="preserve">, </w:t>
      </w:r>
      <w:r w:rsidRPr="00473C61">
        <w:rPr>
          <w:rFonts w:ascii="Times New Roman" w:hAnsi="Times New Roman" w:cs="Times New Roman"/>
          <w:sz w:val="24"/>
          <w:szCs w:val="24"/>
        </w:rPr>
        <w:t>133-</w:t>
      </w:r>
      <w:r w:rsidR="00681EE1" w:rsidRPr="00473C61">
        <w:rPr>
          <w:rFonts w:ascii="Times New Roman" w:hAnsi="Times New Roman" w:cs="Times New Roman"/>
          <w:sz w:val="24"/>
          <w:szCs w:val="24"/>
        </w:rPr>
        <w:t>1</w:t>
      </w:r>
      <w:r w:rsidRPr="00473C61">
        <w:rPr>
          <w:rFonts w:ascii="Times New Roman" w:hAnsi="Times New Roman" w:cs="Times New Roman"/>
          <w:sz w:val="24"/>
          <w:szCs w:val="24"/>
        </w:rPr>
        <w:t>51.</w:t>
      </w:r>
    </w:p>
    <w:p w:rsidR="004E1B96" w:rsidRPr="00473C61" w:rsidRDefault="00851247" w:rsidP="00311CEB">
      <w:pPr>
        <w:pStyle w:val="PreformattatoHTML"/>
        <w:spacing w:before="240"/>
        <w:jc w:val="both"/>
        <w:rPr>
          <w:rFonts w:ascii="Times New Roman" w:hAnsi="Times New Roman" w:cs="Times New Roman"/>
          <w:sz w:val="24"/>
          <w:szCs w:val="24"/>
        </w:rPr>
      </w:pPr>
      <w:r w:rsidRPr="00473C61">
        <w:rPr>
          <w:rFonts w:ascii="Times New Roman" w:hAnsi="Times New Roman" w:cs="Times New Roman"/>
          <w:sz w:val="24"/>
          <w:szCs w:val="24"/>
        </w:rPr>
        <w:t>Crawford, G</w:t>
      </w:r>
      <w:r w:rsidR="00DD1426" w:rsidRPr="00473C61">
        <w:rPr>
          <w:rFonts w:ascii="Times New Roman" w:hAnsi="Times New Roman" w:cs="Times New Roman"/>
          <w:sz w:val="24"/>
          <w:szCs w:val="24"/>
        </w:rPr>
        <w:t>.</w:t>
      </w:r>
      <w:r w:rsidRPr="00473C61">
        <w:rPr>
          <w:rFonts w:ascii="Times New Roman" w:hAnsi="Times New Roman" w:cs="Times New Roman"/>
          <w:sz w:val="24"/>
          <w:szCs w:val="24"/>
        </w:rPr>
        <w:t>W</w:t>
      </w:r>
      <w:r w:rsidR="00DD1426" w:rsidRPr="00473C61">
        <w:rPr>
          <w:rFonts w:ascii="Times New Roman" w:hAnsi="Times New Roman" w:cs="Times New Roman"/>
          <w:sz w:val="24"/>
          <w:szCs w:val="24"/>
        </w:rPr>
        <w:t>.</w:t>
      </w:r>
      <w:r w:rsidR="00681EE1" w:rsidRPr="00473C61">
        <w:rPr>
          <w:rFonts w:ascii="Times New Roman" w:hAnsi="Times New Roman" w:cs="Times New Roman"/>
          <w:sz w:val="24"/>
          <w:szCs w:val="24"/>
        </w:rPr>
        <w:t>,</w:t>
      </w:r>
      <w:r w:rsidRPr="00473C61">
        <w:rPr>
          <w:rFonts w:ascii="Times New Roman" w:hAnsi="Times New Roman" w:cs="Times New Roman"/>
          <w:sz w:val="24"/>
          <w:szCs w:val="24"/>
        </w:rPr>
        <w:t xml:space="preserve"> Rosenblatt</w:t>
      </w:r>
      <w:r w:rsidR="00DD1426" w:rsidRPr="00473C61">
        <w:rPr>
          <w:rFonts w:ascii="Times New Roman" w:hAnsi="Times New Roman" w:cs="Times New Roman"/>
          <w:sz w:val="24"/>
          <w:szCs w:val="24"/>
        </w:rPr>
        <w:t>, E.</w:t>
      </w:r>
      <w:r w:rsidR="00681EE1" w:rsidRPr="00473C61">
        <w:rPr>
          <w:rFonts w:ascii="Times New Roman" w:hAnsi="Times New Roman" w:cs="Times New Roman"/>
          <w:sz w:val="24"/>
          <w:szCs w:val="24"/>
        </w:rPr>
        <w:t>,</w:t>
      </w:r>
      <w:r w:rsidR="00DD1426" w:rsidRPr="00473C61">
        <w:rPr>
          <w:rFonts w:ascii="Times New Roman" w:hAnsi="Times New Roman" w:cs="Times New Roman"/>
          <w:sz w:val="24"/>
          <w:szCs w:val="24"/>
        </w:rPr>
        <w:t xml:space="preserve"> </w:t>
      </w:r>
      <w:r w:rsidRPr="00473C61">
        <w:rPr>
          <w:rFonts w:ascii="Times New Roman" w:hAnsi="Times New Roman" w:cs="Times New Roman"/>
          <w:sz w:val="24"/>
          <w:szCs w:val="24"/>
        </w:rPr>
        <w:t xml:space="preserve">1999. Differences in the </w:t>
      </w:r>
      <w:r w:rsidR="000F6869" w:rsidRPr="00473C61">
        <w:rPr>
          <w:rFonts w:ascii="Times New Roman" w:hAnsi="Times New Roman" w:cs="Times New Roman"/>
          <w:sz w:val="24"/>
          <w:szCs w:val="24"/>
        </w:rPr>
        <w:t>cost of mortgage credit implications for discrimination</w:t>
      </w:r>
      <w:r w:rsidR="00681EE1" w:rsidRPr="00473C61">
        <w:rPr>
          <w:rFonts w:ascii="Times New Roman" w:hAnsi="Times New Roman" w:cs="Times New Roman"/>
          <w:sz w:val="24"/>
          <w:szCs w:val="24"/>
        </w:rPr>
        <w:t>.</w:t>
      </w:r>
      <w:r w:rsidR="00DD1426" w:rsidRPr="00473C61">
        <w:rPr>
          <w:rFonts w:ascii="Times New Roman" w:hAnsi="Times New Roman" w:cs="Times New Roman"/>
          <w:sz w:val="24"/>
          <w:szCs w:val="24"/>
        </w:rPr>
        <w:t xml:space="preserve"> </w:t>
      </w:r>
      <w:r w:rsidR="00A410B2" w:rsidRPr="00473C61">
        <w:rPr>
          <w:rFonts w:ascii="Times New Roman" w:hAnsi="Times New Roman" w:cs="Times New Roman"/>
          <w:sz w:val="24"/>
          <w:szCs w:val="24"/>
        </w:rPr>
        <w:t>The Journal of Real Estate Finance and Economics</w:t>
      </w:r>
      <w:r w:rsidR="000F6869" w:rsidRPr="00473C61">
        <w:rPr>
          <w:rFonts w:ascii="Times New Roman" w:hAnsi="Times New Roman" w:cs="Times New Roman"/>
          <w:sz w:val="24"/>
          <w:szCs w:val="24"/>
        </w:rPr>
        <w:t xml:space="preserve"> </w:t>
      </w:r>
      <w:r w:rsidRPr="00473C61">
        <w:rPr>
          <w:rFonts w:ascii="Times New Roman" w:hAnsi="Times New Roman" w:cs="Times New Roman"/>
          <w:sz w:val="24"/>
          <w:szCs w:val="24"/>
        </w:rPr>
        <w:t>19, 147-</w:t>
      </w:r>
      <w:r w:rsidR="00681EE1" w:rsidRPr="00473C61">
        <w:rPr>
          <w:rFonts w:ascii="Times New Roman" w:hAnsi="Times New Roman" w:cs="Times New Roman"/>
          <w:sz w:val="24"/>
          <w:szCs w:val="24"/>
        </w:rPr>
        <w:t>1</w:t>
      </w:r>
      <w:r w:rsidRPr="00473C61">
        <w:rPr>
          <w:rFonts w:ascii="Times New Roman" w:hAnsi="Times New Roman" w:cs="Times New Roman"/>
          <w:sz w:val="24"/>
          <w:szCs w:val="24"/>
        </w:rPr>
        <w:t>59.</w:t>
      </w:r>
    </w:p>
    <w:p w:rsidR="003955CA" w:rsidRPr="00473C61" w:rsidRDefault="003955CA" w:rsidP="00311CEB">
      <w:pPr>
        <w:pStyle w:val="PreformattatoHTML"/>
        <w:spacing w:before="240"/>
        <w:jc w:val="both"/>
        <w:rPr>
          <w:rFonts w:ascii="Times New Roman" w:hAnsi="Times New Roman" w:cs="Times New Roman"/>
          <w:sz w:val="24"/>
          <w:szCs w:val="24"/>
        </w:rPr>
      </w:pPr>
      <w:r w:rsidRPr="00473C61">
        <w:rPr>
          <w:rFonts w:ascii="Times New Roman" w:hAnsi="Times New Roman" w:cs="Times New Roman"/>
          <w:sz w:val="24"/>
          <w:szCs w:val="24"/>
        </w:rPr>
        <w:t>Dehejia, H.G., Wahba, S.,  2002. Propensity Score-Matching Methods For Nonexperimental Causal Studies, The Review of Economics and Statistics 84, 151-161.</w:t>
      </w:r>
    </w:p>
    <w:p w:rsidR="007A78D2" w:rsidRPr="00473C61" w:rsidRDefault="007A78D2" w:rsidP="00311CEB">
      <w:pPr>
        <w:pStyle w:val="PreformattatoHTML"/>
        <w:spacing w:before="240"/>
        <w:jc w:val="both"/>
        <w:rPr>
          <w:rFonts w:ascii="Times New Roman" w:hAnsi="Times New Roman" w:cs="Times New Roman"/>
          <w:sz w:val="24"/>
          <w:szCs w:val="24"/>
        </w:rPr>
      </w:pPr>
      <w:r w:rsidRPr="00473C61">
        <w:rPr>
          <w:rFonts w:ascii="Times New Roman" w:hAnsi="Times New Roman" w:cs="Times New Roman"/>
          <w:sz w:val="24"/>
          <w:szCs w:val="24"/>
        </w:rPr>
        <w:t>Dermiguc-Kunt, A</w:t>
      </w:r>
      <w:r w:rsidR="00E864F1" w:rsidRPr="00473C61">
        <w:rPr>
          <w:rFonts w:ascii="Times New Roman" w:hAnsi="Times New Roman" w:cs="Times New Roman"/>
          <w:sz w:val="24"/>
          <w:szCs w:val="24"/>
        </w:rPr>
        <w:t>.,</w:t>
      </w:r>
      <w:r w:rsidRPr="00473C61">
        <w:rPr>
          <w:rFonts w:ascii="Times New Roman" w:hAnsi="Times New Roman" w:cs="Times New Roman"/>
          <w:sz w:val="24"/>
          <w:szCs w:val="24"/>
        </w:rPr>
        <w:t xml:space="preserve"> Klapper</w:t>
      </w:r>
      <w:r w:rsidR="00926F3F" w:rsidRPr="00473C61">
        <w:rPr>
          <w:rFonts w:ascii="Times New Roman" w:hAnsi="Times New Roman" w:cs="Times New Roman"/>
          <w:sz w:val="24"/>
          <w:szCs w:val="24"/>
        </w:rPr>
        <w:t>,</w:t>
      </w:r>
      <w:r w:rsidR="00E864F1" w:rsidRPr="00473C61">
        <w:rPr>
          <w:rFonts w:ascii="Times New Roman" w:hAnsi="Times New Roman" w:cs="Times New Roman"/>
          <w:sz w:val="24"/>
          <w:szCs w:val="24"/>
        </w:rPr>
        <w:t xml:space="preserve"> L., </w:t>
      </w:r>
      <w:r w:rsidRPr="00473C61">
        <w:rPr>
          <w:rFonts w:ascii="Times New Roman" w:hAnsi="Times New Roman" w:cs="Times New Roman"/>
          <w:sz w:val="24"/>
          <w:szCs w:val="24"/>
        </w:rPr>
        <w:t>2012</w:t>
      </w:r>
      <w:r w:rsidR="00926F3F" w:rsidRPr="00473C61">
        <w:rPr>
          <w:rFonts w:ascii="Times New Roman" w:hAnsi="Times New Roman" w:cs="Times New Roman"/>
          <w:sz w:val="24"/>
          <w:szCs w:val="24"/>
        </w:rPr>
        <w:t>a</w:t>
      </w:r>
      <w:r w:rsidR="00E864F1" w:rsidRPr="00473C61">
        <w:rPr>
          <w:rFonts w:ascii="Times New Roman" w:hAnsi="Times New Roman" w:cs="Times New Roman"/>
          <w:sz w:val="24"/>
          <w:szCs w:val="24"/>
        </w:rPr>
        <w:t>.</w:t>
      </w:r>
      <w:r w:rsidRPr="00473C61">
        <w:rPr>
          <w:rFonts w:ascii="Times New Roman" w:hAnsi="Times New Roman" w:cs="Times New Roman"/>
          <w:sz w:val="24"/>
          <w:szCs w:val="24"/>
        </w:rPr>
        <w:t xml:space="preserve"> Measuring Financial Inclu</w:t>
      </w:r>
      <w:r w:rsidR="00E864F1" w:rsidRPr="00473C61">
        <w:rPr>
          <w:rFonts w:ascii="Times New Roman" w:hAnsi="Times New Roman" w:cs="Times New Roman"/>
          <w:sz w:val="24"/>
          <w:szCs w:val="24"/>
        </w:rPr>
        <w:t>sion. The Global Findex Database. World Bank Policy Research W</w:t>
      </w:r>
      <w:r w:rsidRPr="00473C61">
        <w:rPr>
          <w:rFonts w:ascii="Times New Roman" w:hAnsi="Times New Roman" w:cs="Times New Roman"/>
          <w:sz w:val="24"/>
          <w:szCs w:val="24"/>
        </w:rPr>
        <w:t>orking Paper 6025, Wash</w:t>
      </w:r>
      <w:r w:rsidR="00E864F1" w:rsidRPr="00473C61">
        <w:rPr>
          <w:rFonts w:ascii="Times New Roman" w:hAnsi="Times New Roman" w:cs="Times New Roman"/>
          <w:sz w:val="24"/>
          <w:szCs w:val="24"/>
        </w:rPr>
        <w:t>ington DC: W</w:t>
      </w:r>
      <w:r w:rsidRPr="00473C61">
        <w:rPr>
          <w:rFonts w:ascii="Times New Roman" w:hAnsi="Times New Roman" w:cs="Times New Roman"/>
          <w:sz w:val="24"/>
          <w:szCs w:val="24"/>
        </w:rPr>
        <w:t>orld Bank</w:t>
      </w:r>
      <w:r w:rsidR="00A41262" w:rsidRPr="00473C61">
        <w:rPr>
          <w:rFonts w:ascii="Times New Roman" w:hAnsi="Times New Roman" w:cs="Times New Roman"/>
          <w:sz w:val="24"/>
          <w:szCs w:val="24"/>
        </w:rPr>
        <w:t>.</w:t>
      </w:r>
    </w:p>
    <w:p w:rsidR="00926F3F" w:rsidRPr="00473C61" w:rsidRDefault="00926F3F" w:rsidP="00E864F1">
      <w:pPr>
        <w:pStyle w:val="PreformattatoHTML"/>
        <w:spacing w:before="240"/>
        <w:jc w:val="both"/>
        <w:rPr>
          <w:rFonts w:ascii="Times New Roman" w:hAnsi="Times New Roman" w:cs="Times New Roman"/>
          <w:sz w:val="24"/>
          <w:szCs w:val="24"/>
        </w:rPr>
      </w:pPr>
      <w:r w:rsidRPr="00473C61">
        <w:rPr>
          <w:rFonts w:ascii="Times New Roman" w:hAnsi="Times New Roman" w:cs="Times New Roman"/>
          <w:sz w:val="24"/>
          <w:szCs w:val="24"/>
        </w:rPr>
        <w:t>Demirguc-Kunt, A., Klapper, L.</w:t>
      </w:r>
      <w:r w:rsidR="00E864F1" w:rsidRPr="00473C61">
        <w:rPr>
          <w:rFonts w:ascii="Times New Roman" w:hAnsi="Times New Roman" w:cs="Times New Roman"/>
          <w:sz w:val="24"/>
          <w:szCs w:val="24"/>
        </w:rPr>
        <w:t>,</w:t>
      </w:r>
      <w:r w:rsidRPr="00473C61">
        <w:rPr>
          <w:rFonts w:ascii="Times New Roman" w:hAnsi="Times New Roman" w:cs="Times New Roman"/>
          <w:sz w:val="24"/>
          <w:szCs w:val="24"/>
        </w:rPr>
        <w:t xml:space="preserve"> 2012b</w:t>
      </w:r>
      <w:r w:rsidR="00E864F1" w:rsidRPr="00473C61">
        <w:rPr>
          <w:rFonts w:ascii="Times New Roman" w:hAnsi="Times New Roman" w:cs="Times New Roman"/>
          <w:sz w:val="24"/>
          <w:szCs w:val="24"/>
        </w:rPr>
        <w:t>.</w:t>
      </w:r>
      <w:r w:rsidRPr="00473C61">
        <w:rPr>
          <w:rFonts w:ascii="Times New Roman" w:hAnsi="Times New Roman" w:cs="Times New Roman"/>
          <w:sz w:val="24"/>
          <w:szCs w:val="24"/>
        </w:rPr>
        <w:t xml:space="preserve"> Financial inclusion in Africa: an overview. World Bank Policy Research Working Paper No 6088, Washington, DC: World Bank.</w:t>
      </w:r>
    </w:p>
    <w:p w:rsidR="007A78D2" w:rsidRPr="00473C61" w:rsidRDefault="00E864F1" w:rsidP="00311CEB">
      <w:pPr>
        <w:pStyle w:val="PreformattatoHTML"/>
        <w:spacing w:before="240"/>
        <w:jc w:val="both"/>
        <w:rPr>
          <w:rFonts w:ascii="Times New Roman" w:hAnsi="Times New Roman" w:cs="Times New Roman"/>
          <w:sz w:val="24"/>
          <w:szCs w:val="24"/>
        </w:rPr>
      </w:pPr>
      <w:r w:rsidRPr="00473C61">
        <w:rPr>
          <w:rFonts w:ascii="Times New Roman" w:hAnsi="Times New Roman" w:cs="Times New Roman"/>
          <w:sz w:val="24"/>
          <w:szCs w:val="24"/>
        </w:rPr>
        <w:t>Demirguc-Kunt, A.,  Klapper, L., 2013.</w:t>
      </w:r>
      <w:r w:rsidR="007A78D2" w:rsidRPr="00473C61">
        <w:rPr>
          <w:rFonts w:ascii="Times New Roman" w:hAnsi="Times New Roman" w:cs="Times New Roman"/>
          <w:sz w:val="24"/>
          <w:szCs w:val="24"/>
        </w:rPr>
        <w:t xml:space="preserve"> Measuring Financial Inclusion.</w:t>
      </w:r>
      <w:r w:rsidRPr="00473C61">
        <w:rPr>
          <w:rFonts w:ascii="Times New Roman" w:hAnsi="Times New Roman" w:cs="Times New Roman"/>
          <w:sz w:val="24"/>
          <w:szCs w:val="24"/>
        </w:rPr>
        <w:t xml:space="preserve"> </w:t>
      </w:r>
      <w:r w:rsidR="007A78D2" w:rsidRPr="00473C61">
        <w:rPr>
          <w:rFonts w:ascii="Times New Roman" w:hAnsi="Times New Roman" w:cs="Times New Roman"/>
          <w:sz w:val="24"/>
          <w:szCs w:val="24"/>
        </w:rPr>
        <w:t xml:space="preserve">Explaining Variation in Use of Financial Services </w:t>
      </w:r>
      <w:r w:rsidR="00BA4E75" w:rsidRPr="00473C61">
        <w:rPr>
          <w:rFonts w:ascii="Times New Roman" w:hAnsi="Times New Roman" w:cs="Times New Roman"/>
          <w:sz w:val="24"/>
          <w:szCs w:val="24"/>
        </w:rPr>
        <w:t>a</w:t>
      </w:r>
      <w:r w:rsidR="00A41262" w:rsidRPr="00473C61">
        <w:rPr>
          <w:rFonts w:ascii="Times New Roman" w:hAnsi="Times New Roman" w:cs="Times New Roman"/>
          <w:sz w:val="24"/>
          <w:szCs w:val="24"/>
        </w:rPr>
        <w:t>cross and within Countries.</w:t>
      </w:r>
      <w:r w:rsidR="007A78D2" w:rsidRPr="00473C61">
        <w:rPr>
          <w:rFonts w:ascii="Times New Roman" w:hAnsi="Times New Roman" w:cs="Times New Roman"/>
          <w:sz w:val="24"/>
          <w:szCs w:val="24"/>
        </w:rPr>
        <w:t xml:space="preserve"> Brookings Paper</w:t>
      </w:r>
      <w:r w:rsidR="00A41262" w:rsidRPr="00473C61">
        <w:rPr>
          <w:rFonts w:ascii="Times New Roman" w:hAnsi="Times New Roman" w:cs="Times New Roman"/>
          <w:sz w:val="24"/>
          <w:szCs w:val="24"/>
        </w:rPr>
        <w:t xml:space="preserve">s on Economic Activity, </w:t>
      </w:r>
      <w:r w:rsidR="007A78D2" w:rsidRPr="00473C61">
        <w:rPr>
          <w:rFonts w:ascii="Times New Roman" w:hAnsi="Times New Roman" w:cs="Times New Roman"/>
          <w:sz w:val="24"/>
          <w:szCs w:val="24"/>
        </w:rPr>
        <w:t>Was</w:t>
      </w:r>
      <w:r w:rsidRPr="00473C61">
        <w:rPr>
          <w:rFonts w:ascii="Times New Roman" w:hAnsi="Times New Roman" w:cs="Times New Roman"/>
          <w:sz w:val="24"/>
          <w:szCs w:val="24"/>
        </w:rPr>
        <w:t>hington DC: Brookings Institute.</w:t>
      </w:r>
    </w:p>
    <w:p w:rsidR="00926F3F" w:rsidRPr="00473C61" w:rsidRDefault="00926F3F" w:rsidP="00A41262">
      <w:pPr>
        <w:pStyle w:val="PreformattatoHTML"/>
        <w:spacing w:before="240"/>
        <w:jc w:val="both"/>
        <w:rPr>
          <w:rFonts w:ascii="Times New Roman" w:hAnsi="Times New Roman" w:cs="Times New Roman"/>
          <w:sz w:val="24"/>
          <w:szCs w:val="24"/>
        </w:rPr>
      </w:pPr>
      <w:r w:rsidRPr="00473C61">
        <w:rPr>
          <w:rFonts w:ascii="Times New Roman" w:hAnsi="Times New Roman" w:cs="Times New Roman"/>
          <w:sz w:val="24"/>
          <w:szCs w:val="24"/>
        </w:rPr>
        <w:t>Demirguc-Kunt, A., Klapper, L</w:t>
      </w:r>
      <w:r w:rsidR="00E864F1" w:rsidRPr="00473C61">
        <w:rPr>
          <w:rFonts w:ascii="Times New Roman" w:hAnsi="Times New Roman" w:cs="Times New Roman"/>
          <w:sz w:val="24"/>
          <w:szCs w:val="24"/>
        </w:rPr>
        <w:t>.,</w:t>
      </w:r>
      <w:r w:rsidRPr="00473C61">
        <w:rPr>
          <w:rFonts w:ascii="Times New Roman" w:hAnsi="Times New Roman" w:cs="Times New Roman"/>
          <w:sz w:val="24"/>
          <w:szCs w:val="24"/>
        </w:rPr>
        <w:t xml:space="preserve"> Douglas, R</w:t>
      </w:r>
      <w:r w:rsidR="00E864F1" w:rsidRPr="00473C61">
        <w:rPr>
          <w:rFonts w:ascii="Times New Roman" w:hAnsi="Times New Roman" w:cs="Times New Roman"/>
          <w:sz w:val="24"/>
          <w:szCs w:val="24"/>
        </w:rPr>
        <w:t>.,</w:t>
      </w:r>
      <w:r w:rsidRPr="00473C61">
        <w:rPr>
          <w:rFonts w:ascii="Times New Roman" w:hAnsi="Times New Roman" w:cs="Times New Roman"/>
          <w:sz w:val="24"/>
          <w:szCs w:val="24"/>
        </w:rPr>
        <w:t xml:space="preserve"> 2013</w:t>
      </w:r>
      <w:r w:rsidR="00E864F1" w:rsidRPr="00473C61">
        <w:rPr>
          <w:rFonts w:ascii="Times New Roman" w:hAnsi="Times New Roman" w:cs="Times New Roman"/>
          <w:sz w:val="24"/>
          <w:szCs w:val="24"/>
        </w:rPr>
        <w:t>.</w:t>
      </w:r>
      <w:r w:rsidRPr="00473C61">
        <w:rPr>
          <w:rFonts w:ascii="Times New Roman" w:hAnsi="Times New Roman" w:cs="Times New Roman"/>
          <w:sz w:val="24"/>
          <w:szCs w:val="24"/>
        </w:rPr>
        <w:t xml:space="preserve"> Islamic finance and financial inclusion: measuring use of and demand for formal financial services among Muslim adults, World Bank Policy Research Working Paper No 6642, October, Washington DC: World Bank</w:t>
      </w:r>
      <w:r w:rsidR="00A41262" w:rsidRPr="00473C61">
        <w:rPr>
          <w:rFonts w:ascii="Times New Roman" w:hAnsi="Times New Roman" w:cs="Times New Roman"/>
          <w:sz w:val="24"/>
          <w:szCs w:val="24"/>
        </w:rPr>
        <w:t>.</w:t>
      </w:r>
    </w:p>
    <w:p w:rsidR="00926F3F" w:rsidRPr="00473C61" w:rsidRDefault="00926F3F" w:rsidP="00A41262">
      <w:pPr>
        <w:pStyle w:val="PreformattatoHTML"/>
        <w:spacing w:before="240"/>
        <w:jc w:val="both"/>
        <w:rPr>
          <w:rFonts w:ascii="Times New Roman" w:hAnsi="Times New Roman" w:cs="Times New Roman"/>
          <w:sz w:val="24"/>
          <w:szCs w:val="24"/>
        </w:rPr>
      </w:pPr>
      <w:r w:rsidRPr="00473C61">
        <w:rPr>
          <w:rFonts w:ascii="Times New Roman" w:hAnsi="Times New Roman" w:cs="Times New Roman"/>
          <w:sz w:val="24"/>
          <w:szCs w:val="24"/>
        </w:rPr>
        <w:t>Demirguc-Kunt, A., Klapper, L</w:t>
      </w:r>
      <w:r w:rsidR="00A41262" w:rsidRPr="00473C61">
        <w:rPr>
          <w:rFonts w:ascii="Times New Roman" w:hAnsi="Times New Roman" w:cs="Times New Roman"/>
          <w:sz w:val="24"/>
          <w:szCs w:val="24"/>
        </w:rPr>
        <w:t>.,</w:t>
      </w:r>
      <w:r w:rsidRPr="00473C61">
        <w:rPr>
          <w:rFonts w:ascii="Times New Roman" w:hAnsi="Times New Roman" w:cs="Times New Roman"/>
          <w:sz w:val="24"/>
          <w:szCs w:val="24"/>
        </w:rPr>
        <w:t xml:space="preserve"> Singer, D</w:t>
      </w:r>
      <w:r w:rsidR="00A41262" w:rsidRPr="00473C61">
        <w:rPr>
          <w:rFonts w:ascii="Times New Roman" w:hAnsi="Times New Roman" w:cs="Times New Roman"/>
          <w:sz w:val="24"/>
          <w:szCs w:val="24"/>
        </w:rPr>
        <w:t>.,</w:t>
      </w:r>
      <w:r w:rsidRPr="00473C61">
        <w:rPr>
          <w:rFonts w:ascii="Times New Roman" w:hAnsi="Times New Roman" w:cs="Times New Roman"/>
          <w:sz w:val="24"/>
          <w:szCs w:val="24"/>
        </w:rPr>
        <w:t xml:space="preserve"> 2013</w:t>
      </w:r>
      <w:r w:rsidR="00A41262" w:rsidRPr="00473C61">
        <w:rPr>
          <w:rFonts w:ascii="Times New Roman" w:hAnsi="Times New Roman" w:cs="Times New Roman"/>
          <w:sz w:val="24"/>
          <w:szCs w:val="24"/>
        </w:rPr>
        <w:t>.</w:t>
      </w:r>
      <w:r w:rsidRPr="00473C61">
        <w:rPr>
          <w:rFonts w:ascii="Times New Roman" w:hAnsi="Times New Roman" w:cs="Times New Roman"/>
          <w:sz w:val="24"/>
          <w:szCs w:val="24"/>
        </w:rPr>
        <w:t xml:space="preserve"> Financial inclusion and legal discrimination against women: evidence from developing countries</w:t>
      </w:r>
      <w:r w:rsidR="00A41262" w:rsidRPr="00473C61">
        <w:rPr>
          <w:rFonts w:ascii="Times New Roman" w:hAnsi="Times New Roman" w:cs="Times New Roman"/>
          <w:sz w:val="24"/>
          <w:szCs w:val="24"/>
        </w:rPr>
        <w:t>.</w:t>
      </w:r>
      <w:r w:rsidRPr="00473C61">
        <w:rPr>
          <w:rFonts w:ascii="Times New Roman" w:hAnsi="Times New Roman" w:cs="Times New Roman"/>
          <w:sz w:val="24"/>
          <w:szCs w:val="24"/>
        </w:rPr>
        <w:t xml:space="preserve"> World Bank Policy Researc</w:t>
      </w:r>
      <w:r w:rsidR="00A41262" w:rsidRPr="00473C61">
        <w:rPr>
          <w:rFonts w:ascii="Times New Roman" w:hAnsi="Times New Roman" w:cs="Times New Roman"/>
          <w:sz w:val="24"/>
          <w:szCs w:val="24"/>
        </w:rPr>
        <w:t xml:space="preserve">h Working Paper No 6416, </w:t>
      </w:r>
      <w:r w:rsidRPr="00473C61">
        <w:rPr>
          <w:rFonts w:ascii="Times New Roman" w:hAnsi="Times New Roman" w:cs="Times New Roman"/>
          <w:sz w:val="24"/>
          <w:szCs w:val="24"/>
        </w:rPr>
        <w:t>Washington DC: World Bank</w:t>
      </w:r>
      <w:r w:rsidR="00A41262" w:rsidRPr="00473C61">
        <w:rPr>
          <w:rFonts w:ascii="Times New Roman" w:hAnsi="Times New Roman" w:cs="Times New Roman"/>
          <w:sz w:val="24"/>
          <w:szCs w:val="24"/>
        </w:rPr>
        <w:t>.</w:t>
      </w:r>
    </w:p>
    <w:p w:rsidR="004E1B96" w:rsidRPr="00473C61" w:rsidRDefault="005B5C87" w:rsidP="00311CEB">
      <w:pPr>
        <w:pStyle w:val="PreformattatoHTML"/>
        <w:spacing w:before="240"/>
        <w:jc w:val="both"/>
        <w:rPr>
          <w:rFonts w:ascii="Times New Roman" w:hAnsi="Times New Roman" w:cs="Times New Roman"/>
          <w:sz w:val="24"/>
          <w:szCs w:val="24"/>
        </w:rPr>
      </w:pPr>
      <w:r w:rsidRPr="00473C61">
        <w:rPr>
          <w:rFonts w:ascii="Times New Roman" w:hAnsi="Times New Roman" w:cs="Times New Roman"/>
          <w:sz w:val="24"/>
          <w:szCs w:val="24"/>
        </w:rPr>
        <w:t>Devlin, J.F.</w:t>
      </w:r>
      <w:r w:rsidR="001E4FBF" w:rsidRPr="00473C61">
        <w:rPr>
          <w:rFonts w:ascii="Times New Roman" w:hAnsi="Times New Roman" w:cs="Times New Roman"/>
          <w:sz w:val="24"/>
          <w:szCs w:val="24"/>
        </w:rPr>
        <w:t>,</w:t>
      </w:r>
      <w:r w:rsidRPr="00473C61">
        <w:rPr>
          <w:rFonts w:ascii="Times New Roman" w:hAnsi="Times New Roman" w:cs="Times New Roman"/>
          <w:sz w:val="24"/>
          <w:szCs w:val="24"/>
        </w:rPr>
        <w:t xml:space="preserve"> 2005. A detailed study of financial exclusion in the UK</w:t>
      </w:r>
      <w:r w:rsidR="001E4FBF" w:rsidRPr="00473C61">
        <w:rPr>
          <w:rFonts w:ascii="Times New Roman" w:hAnsi="Times New Roman" w:cs="Times New Roman"/>
          <w:sz w:val="24"/>
          <w:szCs w:val="24"/>
        </w:rPr>
        <w:t>.</w:t>
      </w:r>
      <w:r w:rsidRPr="00473C61">
        <w:rPr>
          <w:rFonts w:ascii="Times New Roman" w:hAnsi="Times New Roman" w:cs="Times New Roman"/>
          <w:sz w:val="24"/>
          <w:szCs w:val="24"/>
        </w:rPr>
        <w:t xml:space="preserve"> </w:t>
      </w:r>
      <w:r w:rsidR="00A410B2" w:rsidRPr="00473C61">
        <w:rPr>
          <w:rFonts w:ascii="Times New Roman" w:hAnsi="Times New Roman" w:cs="Times New Roman"/>
          <w:sz w:val="24"/>
          <w:szCs w:val="24"/>
        </w:rPr>
        <w:t>Journal of Consumer Policy</w:t>
      </w:r>
      <w:r w:rsidR="000F6869" w:rsidRPr="00473C61">
        <w:rPr>
          <w:rFonts w:ascii="Times New Roman" w:hAnsi="Times New Roman" w:cs="Times New Roman"/>
          <w:sz w:val="24"/>
          <w:szCs w:val="24"/>
        </w:rPr>
        <w:t xml:space="preserve"> </w:t>
      </w:r>
      <w:r w:rsidRPr="00473C61">
        <w:rPr>
          <w:rFonts w:ascii="Times New Roman" w:hAnsi="Times New Roman" w:cs="Times New Roman"/>
          <w:sz w:val="24"/>
          <w:szCs w:val="24"/>
        </w:rPr>
        <w:t xml:space="preserve">28, </w:t>
      </w:r>
      <w:r w:rsidR="001E4FBF" w:rsidRPr="00473C61">
        <w:rPr>
          <w:rFonts w:ascii="Times New Roman" w:hAnsi="Times New Roman" w:cs="Times New Roman"/>
          <w:sz w:val="24"/>
          <w:szCs w:val="24"/>
        </w:rPr>
        <w:t>75-</w:t>
      </w:r>
      <w:r w:rsidRPr="00473C61">
        <w:rPr>
          <w:rFonts w:ascii="Times New Roman" w:hAnsi="Times New Roman" w:cs="Times New Roman"/>
          <w:sz w:val="24"/>
          <w:szCs w:val="24"/>
        </w:rPr>
        <w:t>108.</w:t>
      </w:r>
    </w:p>
    <w:p w:rsidR="004E1B96" w:rsidRPr="00473C61" w:rsidRDefault="00851247" w:rsidP="00311CEB">
      <w:pPr>
        <w:pStyle w:val="PreformattatoHTML"/>
        <w:spacing w:before="240"/>
        <w:jc w:val="both"/>
        <w:rPr>
          <w:rFonts w:ascii="Times New Roman" w:hAnsi="Times New Roman" w:cs="Times New Roman"/>
          <w:sz w:val="24"/>
          <w:szCs w:val="24"/>
        </w:rPr>
      </w:pPr>
      <w:r w:rsidRPr="00473C61">
        <w:rPr>
          <w:rFonts w:ascii="Times New Roman" w:hAnsi="Times New Roman" w:cs="Times New Roman"/>
          <w:sz w:val="24"/>
          <w:szCs w:val="24"/>
        </w:rPr>
        <w:t>Duca, J</w:t>
      </w:r>
      <w:r w:rsidR="00DD1426" w:rsidRPr="00473C61">
        <w:rPr>
          <w:rFonts w:ascii="Times New Roman" w:hAnsi="Times New Roman" w:cs="Times New Roman"/>
          <w:sz w:val="24"/>
          <w:szCs w:val="24"/>
        </w:rPr>
        <w:t>.V.</w:t>
      </w:r>
      <w:r w:rsidR="001E4FBF" w:rsidRPr="00473C61">
        <w:rPr>
          <w:rFonts w:ascii="Times New Roman" w:hAnsi="Times New Roman" w:cs="Times New Roman"/>
          <w:sz w:val="24"/>
          <w:szCs w:val="24"/>
        </w:rPr>
        <w:t xml:space="preserve">, </w:t>
      </w:r>
      <w:r w:rsidRPr="00473C61">
        <w:rPr>
          <w:rFonts w:ascii="Times New Roman" w:hAnsi="Times New Roman" w:cs="Times New Roman"/>
          <w:sz w:val="24"/>
          <w:szCs w:val="24"/>
        </w:rPr>
        <w:t>Rosenthal</w:t>
      </w:r>
      <w:r w:rsidR="00DD1426" w:rsidRPr="00473C61">
        <w:rPr>
          <w:rFonts w:ascii="Times New Roman" w:hAnsi="Times New Roman" w:cs="Times New Roman"/>
          <w:sz w:val="24"/>
          <w:szCs w:val="24"/>
        </w:rPr>
        <w:t>, S.S.</w:t>
      </w:r>
      <w:r w:rsidR="001E4FBF" w:rsidRPr="00473C61">
        <w:rPr>
          <w:rFonts w:ascii="Times New Roman" w:hAnsi="Times New Roman" w:cs="Times New Roman"/>
          <w:sz w:val="24"/>
          <w:szCs w:val="24"/>
        </w:rPr>
        <w:t>,</w:t>
      </w:r>
      <w:r w:rsidR="00DD1426" w:rsidRPr="00473C61">
        <w:rPr>
          <w:rFonts w:ascii="Times New Roman" w:hAnsi="Times New Roman" w:cs="Times New Roman"/>
          <w:sz w:val="24"/>
          <w:szCs w:val="24"/>
        </w:rPr>
        <w:t xml:space="preserve"> </w:t>
      </w:r>
      <w:r w:rsidRPr="00473C61">
        <w:rPr>
          <w:rFonts w:ascii="Times New Roman" w:hAnsi="Times New Roman" w:cs="Times New Roman"/>
          <w:sz w:val="24"/>
          <w:szCs w:val="24"/>
        </w:rPr>
        <w:t>1993</w:t>
      </w:r>
      <w:r w:rsidR="00DD1426" w:rsidRPr="00473C61">
        <w:rPr>
          <w:rFonts w:ascii="Times New Roman" w:hAnsi="Times New Roman" w:cs="Times New Roman"/>
          <w:sz w:val="24"/>
          <w:szCs w:val="24"/>
        </w:rPr>
        <w:t xml:space="preserve">. </w:t>
      </w:r>
      <w:r w:rsidRPr="00473C61">
        <w:rPr>
          <w:rFonts w:ascii="Times New Roman" w:hAnsi="Times New Roman" w:cs="Times New Roman"/>
          <w:sz w:val="24"/>
          <w:szCs w:val="24"/>
        </w:rPr>
        <w:t xml:space="preserve">Borrowing </w:t>
      </w:r>
      <w:r w:rsidR="00123E84" w:rsidRPr="00473C61">
        <w:rPr>
          <w:rFonts w:ascii="Times New Roman" w:hAnsi="Times New Roman" w:cs="Times New Roman"/>
          <w:sz w:val="24"/>
          <w:szCs w:val="24"/>
        </w:rPr>
        <w:t>constraints, household debt, and racial discrimination in loan markets</w:t>
      </w:r>
      <w:r w:rsidR="001E4FBF" w:rsidRPr="00473C61">
        <w:rPr>
          <w:rFonts w:ascii="Times New Roman" w:hAnsi="Times New Roman" w:cs="Times New Roman"/>
          <w:sz w:val="24"/>
          <w:szCs w:val="24"/>
        </w:rPr>
        <w:t>.</w:t>
      </w:r>
      <w:r w:rsidRPr="00473C61">
        <w:rPr>
          <w:rFonts w:ascii="Times New Roman" w:hAnsi="Times New Roman" w:cs="Times New Roman"/>
          <w:sz w:val="24"/>
          <w:szCs w:val="24"/>
        </w:rPr>
        <w:t xml:space="preserve"> </w:t>
      </w:r>
      <w:r w:rsidR="00A410B2" w:rsidRPr="00473C61">
        <w:rPr>
          <w:rFonts w:ascii="Times New Roman" w:hAnsi="Times New Roman" w:cs="Times New Roman"/>
          <w:sz w:val="24"/>
          <w:szCs w:val="24"/>
        </w:rPr>
        <w:t>Journal of Financial Intermediation</w:t>
      </w:r>
      <w:r w:rsidR="00123E84" w:rsidRPr="00473C61">
        <w:rPr>
          <w:rFonts w:ascii="Times New Roman" w:hAnsi="Times New Roman" w:cs="Times New Roman"/>
          <w:sz w:val="24"/>
          <w:szCs w:val="24"/>
        </w:rPr>
        <w:t xml:space="preserve"> </w:t>
      </w:r>
      <w:r w:rsidRPr="00473C61">
        <w:rPr>
          <w:rFonts w:ascii="Times New Roman" w:hAnsi="Times New Roman" w:cs="Times New Roman"/>
          <w:sz w:val="24"/>
          <w:szCs w:val="24"/>
        </w:rPr>
        <w:t>3, 77-103.</w:t>
      </w:r>
    </w:p>
    <w:p w:rsidR="004E1B96" w:rsidRPr="00473C61" w:rsidRDefault="00851247" w:rsidP="00311CEB">
      <w:pPr>
        <w:pStyle w:val="PreformattatoHTML"/>
        <w:spacing w:before="240"/>
        <w:jc w:val="both"/>
        <w:rPr>
          <w:rFonts w:ascii="Times New Roman" w:hAnsi="Times New Roman" w:cs="Times New Roman"/>
          <w:sz w:val="24"/>
          <w:szCs w:val="24"/>
        </w:rPr>
      </w:pPr>
      <w:r w:rsidRPr="00473C61">
        <w:rPr>
          <w:rFonts w:ascii="Times New Roman" w:hAnsi="Times New Roman" w:cs="Times New Roman"/>
          <w:sz w:val="24"/>
          <w:szCs w:val="24"/>
        </w:rPr>
        <w:t>Dymski G.</w:t>
      </w:r>
      <w:r w:rsidR="001E4FBF" w:rsidRPr="00473C61">
        <w:rPr>
          <w:rFonts w:ascii="Times New Roman" w:hAnsi="Times New Roman" w:cs="Times New Roman"/>
          <w:sz w:val="24"/>
          <w:szCs w:val="24"/>
        </w:rPr>
        <w:t>,</w:t>
      </w:r>
      <w:r w:rsidRPr="00473C61">
        <w:rPr>
          <w:rFonts w:ascii="Times New Roman" w:hAnsi="Times New Roman" w:cs="Times New Roman"/>
          <w:sz w:val="24"/>
          <w:szCs w:val="24"/>
        </w:rPr>
        <w:t xml:space="preserve"> 2006. Discrimination in the credit and housing markets: findings and challenges</w:t>
      </w:r>
      <w:r w:rsidR="00123E84" w:rsidRPr="00473C61">
        <w:rPr>
          <w:rFonts w:ascii="Times New Roman" w:hAnsi="Times New Roman" w:cs="Times New Roman"/>
          <w:sz w:val="24"/>
          <w:szCs w:val="24"/>
        </w:rPr>
        <w:t>,</w:t>
      </w:r>
      <w:r w:rsidRPr="00473C61">
        <w:rPr>
          <w:rFonts w:ascii="Times New Roman" w:hAnsi="Times New Roman" w:cs="Times New Roman"/>
          <w:sz w:val="24"/>
          <w:szCs w:val="24"/>
        </w:rPr>
        <w:t xml:space="preserve"> </w:t>
      </w:r>
      <w:r w:rsidR="00123E84" w:rsidRPr="00473C61">
        <w:rPr>
          <w:rFonts w:ascii="Times New Roman" w:hAnsi="Times New Roman" w:cs="Times New Roman"/>
          <w:sz w:val="24"/>
          <w:szCs w:val="24"/>
        </w:rPr>
        <w:t>i</w:t>
      </w:r>
      <w:r w:rsidRPr="00473C61">
        <w:rPr>
          <w:rFonts w:ascii="Times New Roman" w:hAnsi="Times New Roman" w:cs="Times New Roman"/>
          <w:sz w:val="24"/>
          <w:szCs w:val="24"/>
        </w:rPr>
        <w:t>n</w:t>
      </w:r>
      <w:r w:rsidR="001E4FBF" w:rsidRPr="00473C61">
        <w:rPr>
          <w:rFonts w:ascii="Times New Roman" w:hAnsi="Times New Roman" w:cs="Times New Roman"/>
          <w:sz w:val="24"/>
          <w:szCs w:val="24"/>
        </w:rPr>
        <w:t xml:space="preserve"> W. Rodgers, ed.</w:t>
      </w:r>
      <w:r w:rsidRPr="00473C61">
        <w:rPr>
          <w:rFonts w:ascii="Times New Roman" w:hAnsi="Times New Roman" w:cs="Times New Roman"/>
          <w:sz w:val="24"/>
          <w:szCs w:val="24"/>
        </w:rPr>
        <w:t xml:space="preserve"> </w:t>
      </w:r>
      <w:r w:rsidR="00A410B2" w:rsidRPr="00473C61">
        <w:rPr>
          <w:rFonts w:ascii="Times New Roman" w:hAnsi="Times New Roman" w:cs="Times New Roman"/>
          <w:sz w:val="24"/>
          <w:szCs w:val="24"/>
        </w:rPr>
        <w:t>Handbook on the Economics of Discrimination</w:t>
      </w:r>
      <w:r w:rsidRPr="00473C61">
        <w:rPr>
          <w:rFonts w:ascii="Times New Roman" w:hAnsi="Times New Roman" w:cs="Times New Roman"/>
          <w:sz w:val="24"/>
          <w:szCs w:val="24"/>
        </w:rPr>
        <w:t xml:space="preserve">, 215–59. Cheltenham: </w:t>
      </w:r>
      <w:r w:rsidR="00123E84" w:rsidRPr="00473C61">
        <w:rPr>
          <w:rFonts w:ascii="Times New Roman" w:hAnsi="Times New Roman" w:cs="Times New Roman"/>
          <w:sz w:val="24"/>
          <w:szCs w:val="24"/>
        </w:rPr>
        <w:t>Edward Elgar Publishing.</w:t>
      </w:r>
    </w:p>
    <w:p w:rsidR="004E1B96" w:rsidRPr="00473C61" w:rsidRDefault="005B5C87" w:rsidP="00311CEB">
      <w:pPr>
        <w:pStyle w:val="PreformattatoHTML"/>
        <w:spacing w:before="240"/>
        <w:jc w:val="both"/>
        <w:rPr>
          <w:rFonts w:ascii="Times New Roman" w:hAnsi="Times New Roman" w:cs="Times New Roman"/>
          <w:sz w:val="24"/>
          <w:szCs w:val="24"/>
        </w:rPr>
      </w:pPr>
      <w:r w:rsidRPr="00473C61">
        <w:rPr>
          <w:rFonts w:ascii="Times New Roman" w:hAnsi="Times New Roman" w:cs="Times New Roman"/>
          <w:sz w:val="24"/>
          <w:szCs w:val="24"/>
        </w:rPr>
        <w:t>Dymski, G.A.</w:t>
      </w:r>
      <w:r w:rsidR="001E4FBF" w:rsidRPr="00473C61">
        <w:rPr>
          <w:rFonts w:ascii="Times New Roman" w:hAnsi="Times New Roman" w:cs="Times New Roman"/>
          <w:sz w:val="24"/>
          <w:szCs w:val="24"/>
        </w:rPr>
        <w:t>,</w:t>
      </w:r>
      <w:r w:rsidR="00780F8B" w:rsidRPr="00473C61">
        <w:rPr>
          <w:rFonts w:ascii="Times New Roman" w:hAnsi="Times New Roman" w:cs="Times New Roman"/>
          <w:sz w:val="24"/>
          <w:szCs w:val="24"/>
        </w:rPr>
        <w:t xml:space="preserve"> </w:t>
      </w:r>
      <w:r w:rsidRPr="00473C61">
        <w:rPr>
          <w:rFonts w:ascii="Times New Roman" w:hAnsi="Times New Roman" w:cs="Times New Roman"/>
          <w:sz w:val="24"/>
          <w:szCs w:val="24"/>
        </w:rPr>
        <w:t xml:space="preserve">2010. Understanding the </w:t>
      </w:r>
      <w:r w:rsidR="003A7E3B" w:rsidRPr="00473C61">
        <w:rPr>
          <w:rFonts w:ascii="Times New Roman" w:hAnsi="Times New Roman" w:cs="Times New Roman"/>
          <w:sz w:val="24"/>
          <w:szCs w:val="24"/>
        </w:rPr>
        <w:t>subprime crisis: institutional evolution and th</w:t>
      </w:r>
      <w:r w:rsidR="001E4FBF" w:rsidRPr="00473C61">
        <w:rPr>
          <w:rFonts w:ascii="Times New Roman" w:hAnsi="Times New Roman" w:cs="Times New Roman"/>
          <w:sz w:val="24"/>
          <w:szCs w:val="24"/>
        </w:rPr>
        <w:t>eoretical views.</w:t>
      </w:r>
      <w:r w:rsidR="003A7E3B" w:rsidRPr="00473C61">
        <w:rPr>
          <w:rFonts w:ascii="Times New Roman" w:hAnsi="Times New Roman" w:cs="Times New Roman"/>
          <w:sz w:val="24"/>
          <w:szCs w:val="24"/>
        </w:rPr>
        <w:t xml:space="preserve"> </w:t>
      </w:r>
      <w:r w:rsidRPr="00473C61">
        <w:rPr>
          <w:rFonts w:ascii="Times New Roman" w:hAnsi="Times New Roman" w:cs="Times New Roman"/>
          <w:sz w:val="24"/>
          <w:szCs w:val="24"/>
        </w:rPr>
        <w:t xml:space="preserve">Working </w:t>
      </w:r>
      <w:r w:rsidR="003A7E3B" w:rsidRPr="00473C61">
        <w:rPr>
          <w:rFonts w:ascii="Times New Roman" w:hAnsi="Times New Roman" w:cs="Times New Roman"/>
          <w:sz w:val="24"/>
          <w:szCs w:val="24"/>
        </w:rPr>
        <w:t>Paper, Kirwan Institute for the Study of Race and Ethnicity.</w:t>
      </w:r>
    </w:p>
    <w:p w:rsidR="004E1B96" w:rsidRPr="00473C61" w:rsidRDefault="00DD1426" w:rsidP="00311CEB">
      <w:pPr>
        <w:pStyle w:val="PreformattatoHTML"/>
        <w:spacing w:before="240"/>
        <w:jc w:val="both"/>
        <w:rPr>
          <w:rFonts w:ascii="Times New Roman" w:hAnsi="Times New Roman" w:cs="Times New Roman"/>
          <w:sz w:val="24"/>
          <w:szCs w:val="24"/>
        </w:rPr>
      </w:pPr>
      <w:r w:rsidRPr="00473C61">
        <w:rPr>
          <w:rFonts w:ascii="Times New Roman" w:hAnsi="Times New Roman" w:cs="Times New Roman"/>
          <w:sz w:val="24"/>
          <w:szCs w:val="24"/>
        </w:rPr>
        <w:t>Edelberg, W.</w:t>
      </w:r>
      <w:r w:rsidR="001E4FBF" w:rsidRPr="00473C61">
        <w:rPr>
          <w:rFonts w:ascii="Times New Roman" w:hAnsi="Times New Roman" w:cs="Times New Roman"/>
          <w:sz w:val="24"/>
          <w:szCs w:val="24"/>
        </w:rPr>
        <w:t>,</w:t>
      </w:r>
      <w:r w:rsidRPr="00473C61">
        <w:rPr>
          <w:rFonts w:ascii="Times New Roman" w:hAnsi="Times New Roman" w:cs="Times New Roman"/>
          <w:sz w:val="24"/>
          <w:szCs w:val="24"/>
        </w:rPr>
        <w:t xml:space="preserve"> 2007. </w:t>
      </w:r>
      <w:r w:rsidR="00851247" w:rsidRPr="00473C61">
        <w:rPr>
          <w:rFonts w:ascii="Times New Roman" w:hAnsi="Times New Roman" w:cs="Times New Roman"/>
          <w:sz w:val="24"/>
          <w:szCs w:val="24"/>
        </w:rPr>
        <w:t xml:space="preserve">Racial </w:t>
      </w:r>
      <w:r w:rsidR="003A7E3B" w:rsidRPr="00473C61">
        <w:rPr>
          <w:rFonts w:ascii="Times New Roman" w:hAnsi="Times New Roman" w:cs="Times New Roman"/>
          <w:sz w:val="24"/>
          <w:szCs w:val="24"/>
        </w:rPr>
        <w:t>dispersion in consumer credit interest rates</w:t>
      </w:r>
      <w:r w:rsidR="001E4FBF" w:rsidRPr="00473C61">
        <w:rPr>
          <w:rFonts w:ascii="Times New Roman" w:hAnsi="Times New Roman" w:cs="Times New Roman"/>
          <w:sz w:val="24"/>
          <w:szCs w:val="24"/>
        </w:rPr>
        <w:t>.</w:t>
      </w:r>
      <w:r w:rsidR="00851247" w:rsidRPr="00473C61">
        <w:rPr>
          <w:rFonts w:ascii="Times New Roman" w:hAnsi="Times New Roman" w:cs="Times New Roman"/>
          <w:sz w:val="24"/>
          <w:szCs w:val="24"/>
        </w:rPr>
        <w:t xml:space="preserve"> </w:t>
      </w:r>
      <w:r w:rsidR="00A410B2" w:rsidRPr="00473C61">
        <w:rPr>
          <w:rFonts w:ascii="Times New Roman" w:hAnsi="Times New Roman" w:cs="Times New Roman"/>
          <w:sz w:val="24"/>
          <w:szCs w:val="24"/>
        </w:rPr>
        <w:t>Federal Reserve Finance and Economics Discussion Series FEDS</w:t>
      </w:r>
      <w:r w:rsidR="001E4FBF" w:rsidRPr="00473C61">
        <w:rPr>
          <w:rFonts w:ascii="Times New Roman" w:hAnsi="Times New Roman" w:cs="Times New Roman"/>
          <w:sz w:val="24"/>
          <w:szCs w:val="24"/>
        </w:rPr>
        <w:t xml:space="preserve"> </w:t>
      </w:r>
      <w:r w:rsidR="00851247" w:rsidRPr="00473C61">
        <w:rPr>
          <w:rFonts w:ascii="Times New Roman" w:hAnsi="Times New Roman" w:cs="Times New Roman"/>
          <w:sz w:val="24"/>
          <w:szCs w:val="24"/>
        </w:rPr>
        <w:t>28, Washington DC Federal Reserve</w:t>
      </w:r>
      <w:r w:rsidR="001E4FBF" w:rsidRPr="00473C61">
        <w:rPr>
          <w:rFonts w:ascii="Times New Roman" w:hAnsi="Times New Roman" w:cs="Times New Roman"/>
          <w:sz w:val="24"/>
          <w:szCs w:val="24"/>
        </w:rPr>
        <w:t>.</w:t>
      </w:r>
    </w:p>
    <w:p w:rsidR="007B4A37" w:rsidRPr="00473C61" w:rsidRDefault="007B4A37" w:rsidP="00311CEB">
      <w:pPr>
        <w:pStyle w:val="PreformattatoHTML"/>
        <w:spacing w:before="240"/>
        <w:jc w:val="both"/>
        <w:rPr>
          <w:rFonts w:ascii="Times New Roman" w:hAnsi="Times New Roman" w:cs="Times New Roman"/>
          <w:sz w:val="24"/>
          <w:szCs w:val="24"/>
          <w:lang w:val="en-GB"/>
        </w:rPr>
      </w:pPr>
      <w:r w:rsidRPr="00473C61">
        <w:rPr>
          <w:rFonts w:ascii="Times New Roman" w:hAnsi="Times New Roman" w:cs="Times New Roman"/>
          <w:sz w:val="24"/>
          <w:szCs w:val="24"/>
          <w:lang w:val="en-GB"/>
        </w:rPr>
        <w:t xml:space="preserve">European Commission. 2008. Financial services provision and prevention of financial </w:t>
      </w:r>
      <w:r w:rsidR="00311CEB" w:rsidRPr="00473C61">
        <w:rPr>
          <w:rFonts w:ascii="Times New Roman" w:hAnsi="Times New Roman" w:cs="Times New Roman"/>
          <w:sz w:val="24"/>
          <w:szCs w:val="24"/>
          <w:lang w:val="en-GB"/>
        </w:rPr>
        <w:t>e</w:t>
      </w:r>
      <w:r w:rsidRPr="00473C61">
        <w:rPr>
          <w:rFonts w:ascii="Times New Roman" w:hAnsi="Times New Roman" w:cs="Times New Roman"/>
          <w:sz w:val="24"/>
          <w:szCs w:val="24"/>
          <w:lang w:val="en-GB"/>
        </w:rPr>
        <w:t xml:space="preserve">xclusion, Brussels: European Commission. </w:t>
      </w:r>
    </w:p>
    <w:p w:rsidR="004E1B96" w:rsidRPr="00473C61" w:rsidRDefault="00CC78FA" w:rsidP="00311CEB">
      <w:pPr>
        <w:pStyle w:val="PreformattatoHTML"/>
        <w:spacing w:before="240"/>
        <w:jc w:val="both"/>
        <w:rPr>
          <w:rFonts w:ascii="Times New Roman" w:hAnsi="Times New Roman" w:cs="Times New Roman"/>
          <w:sz w:val="24"/>
          <w:szCs w:val="24"/>
          <w:lang w:val="en-GB"/>
        </w:rPr>
      </w:pPr>
      <w:r w:rsidRPr="00473C61">
        <w:rPr>
          <w:rFonts w:ascii="Times New Roman" w:hAnsi="Times New Roman" w:cs="Times New Roman"/>
          <w:sz w:val="24"/>
          <w:szCs w:val="24"/>
          <w:lang w:val="en-GB"/>
        </w:rPr>
        <w:t>Finney, A</w:t>
      </w:r>
      <w:r w:rsidR="004B6FBC" w:rsidRPr="00473C61">
        <w:rPr>
          <w:rFonts w:ascii="Times New Roman" w:hAnsi="Times New Roman" w:cs="Times New Roman"/>
          <w:sz w:val="24"/>
          <w:szCs w:val="24"/>
          <w:lang w:val="en-GB"/>
        </w:rPr>
        <w:t>.</w:t>
      </w:r>
      <w:r w:rsidR="001E4FBF" w:rsidRPr="00473C61">
        <w:rPr>
          <w:rFonts w:ascii="Times New Roman" w:hAnsi="Times New Roman" w:cs="Times New Roman"/>
          <w:sz w:val="24"/>
          <w:szCs w:val="24"/>
          <w:lang w:val="en-GB"/>
        </w:rPr>
        <w:t>D,</w:t>
      </w:r>
      <w:r w:rsidRPr="00473C61">
        <w:rPr>
          <w:rFonts w:ascii="Times New Roman" w:hAnsi="Times New Roman" w:cs="Times New Roman"/>
          <w:sz w:val="24"/>
          <w:szCs w:val="24"/>
          <w:lang w:val="en-GB"/>
        </w:rPr>
        <w:t xml:space="preserve"> Kempson, H</w:t>
      </w:r>
      <w:r w:rsidR="004B6FBC" w:rsidRPr="00473C61">
        <w:rPr>
          <w:rFonts w:ascii="Times New Roman" w:hAnsi="Times New Roman" w:cs="Times New Roman"/>
          <w:sz w:val="24"/>
          <w:szCs w:val="24"/>
          <w:lang w:val="en-GB"/>
        </w:rPr>
        <w:t>.</w:t>
      </w:r>
      <w:r w:rsidRPr="00473C61">
        <w:rPr>
          <w:rFonts w:ascii="Times New Roman" w:hAnsi="Times New Roman" w:cs="Times New Roman"/>
          <w:sz w:val="24"/>
          <w:szCs w:val="24"/>
          <w:lang w:val="en-GB"/>
        </w:rPr>
        <w:t>E.</w:t>
      </w:r>
      <w:r w:rsidR="001E4FBF" w:rsidRPr="00473C61">
        <w:rPr>
          <w:rFonts w:ascii="Times New Roman" w:hAnsi="Times New Roman" w:cs="Times New Roman"/>
          <w:sz w:val="24"/>
          <w:szCs w:val="24"/>
          <w:lang w:val="en-GB"/>
        </w:rPr>
        <w:t>,</w:t>
      </w:r>
      <w:r w:rsidRPr="00473C61">
        <w:rPr>
          <w:rFonts w:ascii="Times New Roman" w:hAnsi="Times New Roman" w:cs="Times New Roman"/>
          <w:sz w:val="24"/>
          <w:szCs w:val="24"/>
          <w:lang w:val="en-GB"/>
        </w:rPr>
        <w:t xml:space="preserve"> </w:t>
      </w:r>
      <w:r w:rsidR="004B6FBC" w:rsidRPr="00473C61">
        <w:rPr>
          <w:rFonts w:ascii="Times New Roman" w:hAnsi="Times New Roman" w:cs="Times New Roman"/>
          <w:sz w:val="24"/>
          <w:szCs w:val="24"/>
          <w:lang w:val="en-GB"/>
        </w:rPr>
        <w:t xml:space="preserve">2009. </w:t>
      </w:r>
      <w:r w:rsidRPr="00473C61">
        <w:rPr>
          <w:rFonts w:ascii="Times New Roman" w:hAnsi="Times New Roman" w:cs="Times New Roman"/>
          <w:sz w:val="24"/>
          <w:szCs w:val="24"/>
          <w:lang w:val="en-GB"/>
        </w:rPr>
        <w:t>Regression analysis of the unbanked using the 2006-</w:t>
      </w:r>
      <w:r w:rsidR="00434379" w:rsidRPr="00473C61">
        <w:rPr>
          <w:rFonts w:ascii="Times New Roman" w:hAnsi="Times New Roman" w:cs="Times New Roman"/>
          <w:sz w:val="24"/>
          <w:szCs w:val="24"/>
          <w:lang w:val="en-GB"/>
        </w:rPr>
        <w:t>07 family resources survey</w:t>
      </w:r>
      <w:r w:rsidRPr="00473C61">
        <w:rPr>
          <w:rFonts w:ascii="Times New Roman" w:hAnsi="Times New Roman" w:cs="Times New Roman"/>
          <w:sz w:val="24"/>
          <w:szCs w:val="24"/>
          <w:lang w:val="en-GB"/>
        </w:rPr>
        <w:t>.</w:t>
      </w:r>
      <w:r w:rsidR="007B4A37" w:rsidRPr="00473C61">
        <w:rPr>
          <w:rFonts w:ascii="Times New Roman" w:hAnsi="Times New Roman" w:cs="Times New Roman"/>
          <w:sz w:val="24"/>
          <w:szCs w:val="24"/>
          <w:lang w:val="en-GB"/>
        </w:rPr>
        <w:t xml:space="preserve"> Financial Inclusion Task Force.</w:t>
      </w:r>
      <w:r w:rsidRPr="00473C61">
        <w:rPr>
          <w:rFonts w:ascii="Times New Roman" w:hAnsi="Times New Roman" w:cs="Times New Roman"/>
          <w:sz w:val="24"/>
          <w:szCs w:val="24"/>
          <w:lang w:val="en-GB"/>
        </w:rPr>
        <w:t xml:space="preserve"> </w:t>
      </w:r>
    </w:p>
    <w:p w:rsidR="004E1B96" w:rsidRPr="00473C61" w:rsidRDefault="001E4FBF" w:rsidP="00311CEB">
      <w:pPr>
        <w:pStyle w:val="PreformattatoHTML"/>
        <w:spacing w:before="240"/>
        <w:jc w:val="both"/>
        <w:rPr>
          <w:rFonts w:ascii="Times New Roman" w:hAnsi="Times New Roman" w:cs="Times New Roman"/>
          <w:sz w:val="24"/>
          <w:szCs w:val="24"/>
          <w:lang w:val="en-GB"/>
        </w:rPr>
      </w:pPr>
      <w:r w:rsidRPr="00473C61">
        <w:rPr>
          <w:rFonts w:ascii="Times New Roman" w:hAnsi="Times New Roman" w:cs="Times New Roman"/>
          <w:sz w:val="24"/>
          <w:szCs w:val="24"/>
          <w:lang w:val="en-GB"/>
        </w:rPr>
        <w:t>Financial Inclusion Task Force (</w:t>
      </w:r>
      <w:r w:rsidR="005B5C87" w:rsidRPr="00473C61">
        <w:rPr>
          <w:rFonts w:ascii="Times New Roman" w:hAnsi="Times New Roman" w:cs="Times New Roman"/>
          <w:sz w:val="24"/>
          <w:szCs w:val="24"/>
          <w:lang w:val="en-GB"/>
        </w:rPr>
        <w:t>FITF</w:t>
      </w:r>
      <w:r w:rsidRPr="00473C61">
        <w:rPr>
          <w:rFonts w:ascii="Times New Roman" w:hAnsi="Times New Roman" w:cs="Times New Roman"/>
          <w:sz w:val="24"/>
          <w:szCs w:val="24"/>
          <w:lang w:val="en-GB"/>
        </w:rPr>
        <w:t>),</w:t>
      </w:r>
      <w:r w:rsidR="005B5C87" w:rsidRPr="00473C61">
        <w:rPr>
          <w:rFonts w:ascii="Times New Roman" w:hAnsi="Times New Roman" w:cs="Times New Roman"/>
          <w:sz w:val="24"/>
          <w:szCs w:val="24"/>
          <w:lang w:val="en-GB"/>
        </w:rPr>
        <w:t xml:space="preserve"> 2009</w:t>
      </w:r>
      <w:r w:rsidR="00434379" w:rsidRPr="00473C61">
        <w:rPr>
          <w:rFonts w:ascii="Times New Roman" w:hAnsi="Times New Roman" w:cs="Times New Roman"/>
          <w:sz w:val="24"/>
          <w:szCs w:val="24"/>
          <w:lang w:val="en-GB"/>
        </w:rPr>
        <w:t>.</w:t>
      </w:r>
      <w:r w:rsidR="005B5C87" w:rsidRPr="00473C61">
        <w:rPr>
          <w:rFonts w:ascii="Times New Roman" w:hAnsi="Times New Roman" w:cs="Times New Roman"/>
          <w:sz w:val="24"/>
          <w:szCs w:val="24"/>
          <w:lang w:val="en-GB"/>
        </w:rPr>
        <w:t xml:space="preserve"> Fourth </w:t>
      </w:r>
      <w:r w:rsidR="00434379" w:rsidRPr="00473C61">
        <w:rPr>
          <w:rFonts w:ascii="Times New Roman" w:hAnsi="Times New Roman" w:cs="Times New Roman"/>
          <w:sz w:val="24"/>
          <w:szCs w:val="24"/>
          <w:lang w:val="en-GB"/>
        </w:rPr>
        <w:t xml:space="preserve">annual report on progress towards the shared goal for banking, </w:t>
      </w:r>
      <w:r w:rsidR="005B5C87" w:rsidRPr="00473C61">
        <w:rPr>
          <w:rFonts w:ascii="Times New Roman" w:hAnsi="Times New Roman" w:cs="Times New Roman"/>
          <w:sz w:val="24"/>
          <w:szCs w:val="24"/>
          <w:lang w:val="en-GB"/>
        </w:rPr>
        <w:t>London: Financ</w:t>
      </w:r>
      <w:r w:rsidR="005552D3" w:rsidRPr="00473C61">
        <w:rPr>
          <w:rFonts w:ascii="Times New Roman" w:hAnsi="Times New Roman" w:cs="Times New Roman"/>
          <w:sz w:val="24"/>
          <w:szCs w:val="24"/>
          <w:lang w:val="en-GB"/>
        </w:rPr>
        <w:t>ial Inclusion Task F</w:t>
      </w:r>
      <w:r w:rsidRPr="00473C61">
        <w:rPr>
          <w:rFonts w:ascii="Times New Roman" w:hAnsi="Times New Roman" w:cs="Times New Roman"/>
          <w:sz w:val="24"/>
          <w:szCs w:val="24"/>
          <w:lang w:val="en-GB"/>
        </w:rPr>
        <w:t>orce.</w:t>
      </w:r>
    </w:p>
    <w:p w:rsidR="004E1B96" w:rsidRPr="00473C61" w:rsidRDefault="001E4FBF" w:rsidP="00311CEB">
      <w:pPr>
        <w:pStyle w:val="PreformattatoHTML"/>
        <w:spacing w:before="240"/>
        <w:jc w:val="both"/>
        <w:rPr>
          <w:rFonts w:ascii="Times New Roman" w:hAnsi="Times New Roman" w:cs="Times New Roman"/>
          <w:sz w:val="24"/>
          <w:szCs w:val="24"/>
        </w:rPr>
      </w:pPr>
      <w:r w:rsidRPr="00473C61">
        <w:rPr>
          <w:rFonts w:ascii="Times New Roman" w:hAnsi="Times New Roman" w:cs="Times New Roman"/>
          <w:sz w:val="24"/>
          <w:szCs w:val="24"/>
        </w:rPr>
        <w:lastRenderedPageBreak/>
        <w:t>Financial Service Authority (</w:t>
      </w:r>
      <w:r w:rsidR="003843C3" w:rsidRPr="00473C61">
        <w:rPr>
          <w:rFonts w:ascii="Times New Roman" w:hAnsi="Times New Roman" w:cs="Times New Roman"/>
          <w:sz w:val="24"/>
          <w:szCs w:val="24"/>
        </w:rPr>
        <w:t>FSA</w:t>
      </w:r>
      <w:r w:rsidRPr="00473C61">
        <w:rPr>
          <w:rFonts w:ascii="Times New Roman" w:hAnsi="Times New Roman" w:cs="Times New Roman"/>
          <w:sz w:val="24"/>
          <w:szCs w:val="24"/>
        </w:rPr>
        <w:t>),</w:t>
      </w:r>
      <w:r w:rsidR="003843C3" w:rsidRPr="00473C61">
        <w:rPr>
          <w:rFonts w:ascii="Times New Roman" w:hAnsi="Times New Roman" w:cs="Times New Roman"/>
          <w:sz w:val="24"/>
          <w:szCs w:val="24"/>
        </w:rPr>
        <w:t xml:space="preserve"> 2000. In </w:t>
      </w:r>
      <w:r w:rsidR="00434379" w:rsidRPr="00473C61">
        <w:rPr>
          <w:rFonts w:ascii="Times New Roman" w:hAnsi="Times New Roman" w:cs="Times New Roman"/>
          <w:sz w:val="24"/>
          <w:szCs w:val="24"/>
        </w:rPr>
        <w:t>or out? financial exclusion: a</w:t>
      </w:r>
      <w:r w:rsidRPr="00473C61">
        <w:rPr>
          <w:rFonts w:ascii="Times New Roman" w:hAnsi="Times New Roman" w:cs="Times New Roman"/>
          <w:sz w:val="24"/>
          <w:szCs w:val="24"/>
        </w:rPr>
        <w:t xml:space="preserve"> literature and research review.</w:t>
      </w:r>
      <w:r w:rsidR="003843C3" w:rsidRPr="00473C61">
        <w:rPr>
          <w:rFonts w:ascii="Times New Roman" w:hAnsi="Times New Roman" w:cs="Times New Roman"/>
          <w:sz w:val="24"/>
          <w:szCs w:val="24"/>
        </w:rPr>
        <w:t xml:space="preserve"> London: Financial Services Authority.</w:t>
      </w:r>
    </w:p>
    <w:p w:rsidR="004E1B96" w:rsidRPr="00473C61" w:rsidRDefault="00C908A5" w:rsidP="00311CEB">
      <w:pPr>
        <w:pStyle w:val="PreformattatoHTML"/>
        <w:spacing w:before="240"/>
        <w:jc w:val="both"/>
        <w:rPr>
          <w:rFonts w:ascii="Times New Roman" w:hAnsi="Times New Roman" w:cs="Times New Roman"/>
          <w:sz w:val="24"/>
          <w:szCs w:val="24"/>
        </w:rPr>
      </w:pPr>
      <w:r w:rsidRPr="00473C61">
        <w:rPr>
          <w:rFonts w:ascii="Times New Roman" w:hAnsi="Times New Roman" w:cs="Times New Roman"/>
          <w:sz w:val="24"/>
          <w:szCs w:val="24"/>
        </w:rPr>
        <w:t>Gathergood, J</w:t>
      </w:r>
      <w:r w:rsidR="00DD1426" w:rsidRPr="00473C61">
        <w:rPr>
          <w:rFonts w:ascii="Times New Roman" w:hAnsi="Times New Roman" w:cs="Times New Roman"/>
          <w:sz w:val="24"/>
          <w:szCs w:val="24"/>
        </w:rPr>
        <w:t>.</w:t>
      </w:r>
      <w:r w:rsidR="001E4FBF" w:rsidRPr="00473C61">
        <w:rPr>
          <w:rFonts w:ascii="Times New Roman" w:hAnsi="Times New Roman" w:cs="Times New Roman"/>
          <w:sz w:val="24"/>
          <w:szCs w:val="24"/>
        </w:rPr>
        <w:t>,</w:t>
      </w:r>
      <w:r w:rsidRPr="00473C61">
        <w:rPr>
          <w:rFonts w:ascii="Times New Roman" w:hAnsi="Times New Roman" w:cs="Times New Roman"/>
          <w:sz w:val="24"/>
          <w:szCs w:val="24"/>
        </w:rPr>
        <w:t xml:space="preserve"> 2011</w:t>
      </w:r>
      <w:r w:rsidR="00DD1426" w:rsidRPr="00473C61">
        <w:rPr>
          <w:rFonts w:ascii="Times New Roman" w:hAnsi="Times New Roman" w:cs="Times New Roman"/>
          <w:sz w:val="24"/>
          <w:szCs w:val="24"/>
        </w:rPr>
        <w:t xml:space="preserve">. </w:t>
      </w:r>
      <w:r w:rsidRPr="00473C61">
        <w:rPr>
          <w:rFonts w:ascii="Times New Roman" w:hAnsi="Times New Roman" w:cs="Times New Roman"/>
          <w:sz w:val="24"/>
          <w:szCs w:val="24"/>
        </w:rPr>
        <w:t xml:space="preserve">Racial </w:t>
      </w:r>
      <w:r w:rsidR="00EB3D96" w:rsidRPr="00473C61">
        <w:rPr>
          <w:rFonts w:ascii="Times New Roman" w:hAnsi="Times New Roman" w:cs="Times New Roman"/>
          <w:sz w:val="24"/>
          <w:szCs w:val="24"/>
        </w:rPr>
        <w:t xml:space="preserve">disparities in credit constraints in the great recession: evidence from the </w:t>
      </w:r>
      <w:r w:rsidR="00DD1426" w:rsidRPr="00473C61">
        <w:rPr>
          <w:rFonts w:ascii="Times New Roman" w:hAnsi="Times New Roman" w:cs="Times New Roman"/>
          <w:sz w:val="24"/>
          <w:szCs w:val="24"/>
        </w:rPr>
        <w:t>UK</w:t>
      </w:r>
      <w:r w:rsidR="001E4FBF" w:rsidRPr="00473C61">
        <w:rPr>
          <w:rFonts w:ascii="Times New Roman" w:hAnsi="Times New Roman" w:cs="Times New Roman"/>
          <w:sz w:val="24"/>
          <w:szCs w:val="24"/>
        </w:rPr>
        <w:t>.</w:t>
      </w:r>
      <w:r w:rsidRPr="00473C61">
        <w:rPr>
          <w:rFonts w:ascii="Times New Roman" w:hAnsi="Times New Roman" w:cs="Times New Roman"/>
          <w:sz w:val="24"/>
          <w:szCs w:val="24"/>
        </w:rPr>
        <w:t xml:space="preserve"> </w:t>
      </w:r>
      <w:r w:rsidR="00A410B2" w:rsidRPr="00473C61">
        <w:rPr>
          <w:rFonts w:ascii="Times New Roman" w:hAnsi="Times New Roman" w:cs="Times New Roman"/>
          <w:sz w:val="24"/>
          <w:szCs w:val="24"/>
        </w:rPr>
        <w:t>The B.E. Journal of Economic Analysis and Policy</w:t>
      </w:r>
      <w:r w:rsidR="00EB3D96" w:rsidRPr="00473C61">
        <w:rPr>
          <w:rFonts w:ascii="Times New Roman" w:hAnsi="Times New Roman" w:cs="Times New Roman"/>
          <w:sz w:val="24"/>
          <w:szCs w:val="24"/>
        </w:rPr>
        <w:t xml:space="preserve"> </w:t>
      </w:r>
      <w:r w:rsidR="00DD1426" w:rsidRPr="00473C61">
        <w:rPr>
          <w:rFonts w:ascii="Times New Roman" w:hAnsi="Times New Roman" w:cs="Times New Roman"/>
          <w:sz w:val="24"/>
          <w:szCs w:val="24"/>
        </w:rPr>
        <w:t>11</w:t>
      </w:r>
      <w:r w:rsidRPr="00473C61">
        <w:rPr>
          <w:rFonts w:ascii="Times New Roman" w:hAnsi="Times New Roman" w:cs="Times New Roman"/>
          <w:sz w:val="24"/>
          <w:szCs w:val="24"/>
        </w:rPr>
        <w:t>, 61-</w:t>
      </w:r>
      <w:r w:rsidR="001B7879" w:rsidRPr="00473C61">
        <w:rPr>
          <w:rFonts w:ascii="Times New Roman" w:hAnsi="Times New Roman" w:cs="Times New Roman"/>
          <w:sz w:val="24"/>
          <w:szCs w:val="24"/>
        </w:rPr>
        <w:t>92</w:t>
      </w:r>
      <w:r w:rsidR="00EB3D96" w:rsidRPr="00473C61">
        <w:rPr>
          <w:rFonts w:ascii="Times New Roman" w:hAnsi="Times New Roman" w:cs="Times New Roman"/>
          <w:sz w:val="24"/>
          <w:szCs w:val="24"/>
        </w:rPr>
        <w:t>.</w:t>
      </w:r>
    </w:p>
    <w:p w:rsidR="004E1B96" w:rsidRPr="00473C61" w:rsidRDefault="00851247" w:rsidP="00311CEB">
      <w:pPr>
        <w:pStyle w:val="PreformattatoHTML"/>
        <w:spacing w:before="240"/>
        <w:jc w:val="both"/>
        <w:rPr>
          <w:rFonts w:ascii="Times New Roman" w:hAnsi="Times New Roman" w:cs="Times New Roman"/>
          <w:sz w:val="24"/>
          <w:szCs w:val="24"/>
        </w:rPr>
      </w:pPr>
      <w:r w:rsidRPr="00473C61">
        <w:rPr>
          <w:rFonts w:ascii="Times New Roman" w:hAnsi="Times New Roman" w:cs="Times New Roman"/>
          <w:sz w:val="24"/>
          <w:szCs w:val="24"/>
        </w:rPr>
        <w:t>Goldberg, P</w:t>
      </w:r>
      <w:r w:rsidR="00F201DD" w:rsidRPr="00473C61">
        <w:rPr>
          <w:rFonts w:ascii="Times New Roman" w:hAnsi="Times New Roman" w:cs="Times New Roman"/>
          <w:sz w:val="24"/>
          <w:szCs w:val="24"/>
        </w:rPr>
        <w:t>.</w:t>
      </w:r>
      <w:r w:rsidRPr="00473C61">
        <w:rPr>
          <w:rFonts w:ascii="Times New Roman" w:hAnsi="Times New Roman" w:cs="Times New Roman"/>
          <w:sz w:val="24"/>
          <w:szCs w:val="24"/>
        </w:rPr>
        <w:t>K</w:t>
      </w:r>
      <w:r w:rsidR="00F201DD" w:rsidRPr="00473C61">
        <w:rPr>
          <w:rFonts w:ascii="Times New Roman" w:hAnsi="Times New Roman" w:cs="Times New Roman"/>
          <w:sz w:val="24"/>
          <w:szCs w:val="24"/>
        </w:rPr>
        <w:t xml:space="preserve">. </w:t>
      </w:r>
      <w:r w:rsidRPr="00473C61">
        <w:rPr>
          <w:rFonts w:ascii="Times New Roman" w:hAnsi="Times New Roman" w:cs="Times New Roman"/>
          <w:sz w:val="24"/>
          <w:szCs w:val="24"/>
        </w:rPr>
        <w:t>1996.</w:t>
      </w:r>
      <w:r w:rsidR="00F201DD" w:rsidRPr="00473C61">
        <w:rPr>
          <w:rFonts w:ascii="Times New Roman" w:hAnsi="Times New Roman" w:cs="Times New Roman"/>
          <w:sz w:val="24"/>
          <w:szCs w:val="24"/>
        </w:rPr>
        <w:t xml:space="preserve"> </w:t>
      </w:r>
      <w:r w:rsidRPr="00473C61">
        <w:rPr>
          <w:rFonts w:ascii="Times New Roman" w:hAnsi="Times New Roman" w:cs="Times New Roman"/>
          <w:sz w:val="24"/>
          <w:szCs w:val="24"/>
        </w:rPr>
        <w:t xml:space="preserve">Dealer </w:t>
      </w:r>
      <w:r w:rsidR="00EB3D96" w:rsidRPr="00473C61">
        <w:rPr>
          <w:rFonts w:ascii="Times New Roman" w:hAnsi="Times New Roman" w:cs="Times New Roman"/>
          <w:sz w:val="24"/>
          <w:szCs w:val="24"/>
        </w:rPr>
        <w:t>price discrimination in new car purchases: evidence from the consumer expenditure survey</w:t>
      </w:r>
      <w:r w:rsidR="00F201DD" w:rsidRPr="00473C61">
        <w:rPr>
          <w:rFonts w:ascii="Times New Roman" w:hAnsi="Times New Roman" w:cs="Times New Roman"/>
          <w:sz w:val="24"/>
          <w:szCs w:val="24"/>
        </w:rPr>
        <w:t>,</w:t>
      </w:r>
      <w:r w:rsidRPr="00473C61">
        <w:rPr>
          <w:rFonts w:ascii="Times New Roman" w:hAnsi="Times New Roman" w:cs="Times New Roman"/>
          <w:sz w:val="24"/>
          <w:szCs w:val="24"/>
        </w:rPr>
        <w:t xml:space="preserve"> </w:t>
      </w:r>
      <w:r w:rsidR="00A410B2" w:rsidRPr="00473C61">
        <w:rPr>
          <w:rFonts w:ascii="Times New Roman" w:hAnsi="Times New Roman" w:cs="Times New Roman"/>
          <w:sz w:val="24"/>
          <w:szCs w:val="24"/>
        </w:rPr>
        <w:t>Journal of Political Economy</w:t>
      </w:r>
      <w:r w:rsidR="00EB3D96" w:rsidRPr="00473C61">
        <w:rPr>
          <w:rFonts w:ascii="Times New Roman" w:hAnsi="Times New Roman" w:cs="Times New Roman"/>
          <w:sz w:val="24"/>
          <w:szCs w:val="24"/>
        </w:rPr>
        <w:t xml:space="preserve">, </w:t>
      </w:r>
      <w:r w:rsidR="00F201DD" w:rsidRPr="00473C61">
        <w:rPr>
          <w:rFonts w:ascii="Times New Roman" w:hAnsi="Times New Roman" w:cs="Times New Roman"/>
          <w:sz w:val="24"/>
          <w:szCs w:val="24"/>
        </w:rPr>
        <w:t>104</w:t>
      </w:r>
      <w:r w:rsidRPr="00473C61">
        <w:rPr>
          <w:rFonts w:ascii="Times New Roman" w:hAnsi="Times New Roman" w:cs="Times New Roman"/>
          <w:sz w:val="24"/>
          <w:szCs w:val="24"/>
        </w:rPr>
        <w:t>, 622-54.</w:t>
      </w:r>
    </w:p>
    <w:p w:rsidR="004E1B96" w:rsidRPr="00473C61" w:rsidRDefault="005B5C87" w:rsidP="00311CEB">
      <w:pPr>
        <w:pStyle w:val="PreformattatoHTML"/>
        <w:spacing w:before="240"/>
        <w:jc w:val="both"/>
        <w:rPr>
          <w:rFonts w:ascii="Times New Roman" w:hAnsi="Times New Roman" w:cs="Times New Roman"/>
          <w:sz w:val="24"/>
          <w:szCs w:val="24"/>
        </w:rPr>
      </w:pPr>
      <w:r w:rsidRPr="00473C61">
        <w:rPr>
          <w:rFonts w:ascii="Times New Roman" w:hAnsi="Times New Roman" w:cs="Times New Roman"/>
          <w:sz w:val="24"/>
          <w:szCs w:val="24"/>
        </w:rPr>
        <w:t>Gloukoviezoff, G.</w:t>
      </w:r>
      <w:r w:rsidR="009F4D3C" w:rsidRPr="00473C61">
        <w:rPr>
          <w:rFonts w:ascii="Times New Roman" w:hAnsi="Times New Roman" w:cs="Times New Roman"/>
          <w:sz w:val="24"/>
          <w:szCs w:val="24"/>
        </w:rPr>
        <w:t>,</w:t>
      </w:r>
      <w:r w:rsidRPr="00473C61">
        <w:rPr>
          <w:rFonts w:ascii="Times New Roman" w:hAnsi="Times New Roman" w:cs="Times New Roman"/>
          <w:sz w:val="24"/>
          <w:szCs w:val="24"/>
        </w:rPr>
        <w:t xml:space="preserve"> 2007</w:t>
      </w:r>
      <w:r w:rsidR="0008650A" w:rsidRPr="00473C61">
        <w:rPr>
          <w:rFonts w:ascii="Times New Roman" w:hAnsi="Times New Roman" w:cs="Times New Roman"/>
          <w:sz w:val="24"/>
          <w:szCs w:val="24"/>
        </w:rPr>
        <w:t>.</w:t>
      </w:r>
      <w:r w:rsidRPr="00473C61">
        <w:rPr>
          <w:rFonts w:ascii="Times New Roman" w:hAnsi="Times New Roman" w:cs="Times New Roman"/>
          <w:sz w:val="24"/>
          <w:szCs w:val="24"/>
        </w:rPr>
        <w:t xml:space="preserve"> From </w:t>
      </w:r>
      <w:r w:rsidR="0008650A" w:rsidRPr="00473C61">
        <w:rPr>
          <w:rFonts w:ascii="Times New Roman" w:hAnsi="Times New Roman" w:cs="Times New Roman"/>
          <w:sz w:val="24"/>
          <w:szCs w:val="24"/>
        </w:rPr>
        <w:t>financial exclusion to over</w:t>
      </w:r>
      <w:r w:rsidR="00603616" w:rsidRPr="00473C61">
        <w:rPr>
          <w:rFonts w:ascii="Times New Roman" w:hAnsi="Times New Roman" w:cs="Times New Roman"/>
          <w:sz w:val="24"/>
          <w:szCs w:val="24"/>
        </w:rPr>
        <w:t>-</w:t>
      </w:r>
      <w:r w:rsidR="0008650A" w:rsidRPr="00473C61">
        <w:rPr>
          <w:rFonts w:ascii="Times New Roman" w:hAnsi="Times New Roman" w:cs="Times New Roman"/>
          <w:sz w:val="24"/>
          <w:szCs w:val="24"/>
        </w:rPr>
        <w:t>indebtedness: the paradox of difficulties for people on low incomes?</w:t>
      </w:r>
      <w:r w:rsidRPr="00473C61">
        <w:rPr>
          <w:rFonts w:ascii="Times New Roman" w:hAnsi="Times New Roman" w:cs="Times New Roman"/>
          <w:sz w:val="24"/>
          <w:szCs w:val="24"/>
        </w:rPr>
        <w:t xml:space="preserve"> </w:t>
      </w:r>
      <w:r w:rsidR="007C0540" w:rsidRPr="00473C61">
        <w:rPr>
          <w:rFonts w:ascii="Times New Roman" w:hAnsi="Times New Roman" w:cs="Times New Roman"/>
          <w:sz w:val="24"/>
          <w:szCs w:val="24"/>
        </w:rPr>
        <w:t>I</w:t>
      </w:r>
      <w:r w:rsidRPr="00473C61">
        <w:rPr>
          <w:rFonts w:ascii="Times New Roman" w:hAnsi="Times New Roman" w:cs="Times New Roman"/>
          <w:sz w:val="24"/>
          <w:szCs w:val="24"/>
        </w:rPr>
        <w:t>n Anderloni, L., Braga, M.D., Carluccio, E.M., ed</w:t>
      </w:r>
      <w:r w:rsidR="00337B05" w:rsidRPr="00473C61">
        <w:rPr>
          <w:rFonts w:ascii="Times New Roman" w:hAnsi="Times New Roman" w:cs="Times New Roman"/>
          <w:sz w:val="24"/>
          <w:szCs w:val="24"/>
        </w:rPr>
        <w:t xml:space="preserve">s. </w:t>
      </w:r>
      <w:r w:rsidR="00A410B2" w:rsidRPr="00473C61">
        <w:rPr>
          <w:rFonts w:ascii="Times New Roman" w:hAnsi="Times New Roman" w:cs="Times New Roman"/>
          <w:sz w:val="24"/>
          <w:szCs w:val="24"/>
        </w:rPr>
        <w:t>New frontiers in banking services: emerging needs and tailored products for untapped markets</w:t>
      </w:r>
      <w:r w:rsidRPr="00473C61">
        <w:rPr>
          <w:rFonts w:ascii="Times New Roman" w:hAnsi="Times New Roman" w:cs="Times New Roman"/>
          <w:sz w:val="24"/>
          <w:szCs w:val="24"/>
        </w:rPr>
        <w:t xml:space="preserve">, </w:t>
      </w:r>
      <w:r w:rsidR="00603616" w:rsidRPr="00473C61">
        <w:rPr>
          <w:rFonts w:ascii="Times New Roman" w:hAnsi="Times New Roman" w:cs="Times New Roman"/>
          <w:sz w:val="24"/>
          <w:szCs w:val="24"/>
        </w:rPr>
        <w:t xml:space="preserve">213-245, </w:t>
      </w:r>
      <w:r w:rsidRPr="00473C61">
        <w:rPr>
          <w:rFonts w:ascii="Times New Roman" w:hAnsi="Times New Roman" w:cs="Times New Roman"/>
          <w:sz w:val="24"/>
          <w:szCs w:val="24"/>
        </w:rPr>
        <w:t xml:space="preserve">Hamburg: Springer Berlin Heidelberg. </w:t>
      </w:r>
    </w:p>
    <w:p w:rsidR="004E1B96" w:rsidRPr="00473C61" w:rsidRDefault="00851247" w:rsidP="00311CEB">
      <w:pPr>
        <w:pStyle w:val="PreformattatoHTML"/>
        <w:spacing w:before="240"/>
        <w:jc w:val="both"/>
        <w:rPr>
          <w:rFonts w:ascii="Times New Roman" w:hAnsi="Times New Roman" w:cs="Times New Roman"/>
          <w:sz w:val="24"/>
          <w:szCs w:val="24"/>
        </w:rPr>
      </w:pPr>
      <w:r w:rsidRPr="00473C61">
        <w:rPr>
          <w:rFonts w:ascii="Times New Roman" w:hAnsi="Times New Roman" w:cs="Times New Roman"/>
          <w:sz w:val="24"/>
          <w:szCs w:val="24"/>
        </w:rPr>
        <w:t>Han, S</w:t>
      </w:r>
      <w:r w:rsidR="00F201DD" w:rsidRPr="00473C61">
        <w:rPr>
          <w:rFonts w:ascii="Times New Roman" w:hAnsi="Times New Roman" w:cs="Times New Roman"/>
          <w:sz w:val="24"/>
          <w:szCs w:val="24"/>
        </w:rPr>
        <w:t>.</w:t>
      </w:r>
      <w:r w:rsidR="00337B05" w:rsidRPr="00473C61">
        <w:rPr>
          <w:rFonts w:ascii="Times New Roman" w:hAnsi="Times New Roman" w:cs="Times New Roman"/>
          <w:sz w:val="24"/>
          <w:szCs w:val="24"/>
        </w:rPr>
        <w:t>,</w:t>
      </w:r>
      <w:r w:rsidR="00F201DD" w:rsidRPr="00473C61">
        <w:rPr>
          <w:rFonts w:ascii="Times New Roman" w:hAnsi="Times New Roman" w:cs="Times New Roman"/>
          <w:sz w:val="24"/>
          <w:szCs w:val="24"/>
        </w:rPr>
        <w:t xml:space="preserve"> </w:t>
      </w:r>
      <w:r w:rsidRPr="00473C61">
        <w:rPr>
          <w:rFonts w:ascii="Times New Roman" w:hAnsi="Times New Roman" w:cs="Times New Roman"/>
          <w:sz w:val="24"/>
          <w:szCs w:val="24"/>
        </w:rPr>
        <w:t>2011</w:t>
      </w:r>
      <w:r w:rsidR="00F201DD" w:rsidRPr="00473C61">
        <w:rPr>
          <w:rFonts w:ascii="Times New Roman" w:hAnsi="Times New Roman" w:cs="Times New Roman"/>
          <w:sz w:val="24"/>
          <w:szCs w:val="24"/>
        </w:rPr>
        <w:t>.</w:t>
      </w:r>
      <w:r w:rsidRPr="00473C61">
        <w:rPr>
          <w:rFonts w:ascii="Times New Roman" w:hAnsi="Times New Roman" w:cs="Times New Roman"/>
          <w:sz w:val="24"/>
          <w:szCs w:val="24"/>
        </w:rPr>
        <w:t xml:space="preserve"> Creditor learnin</w:t>
      </w:r>
      <w:r w:rsidR="00337B05" w:rsidRPr="00473C61">
        <w:rPr>
          <w:rFonts w:ascii="Times New Roman" w:hAnsi="Times New Roman" w:cs="Times New Roman"/>
          <w:sz w:val="24"/>
          <w:szCs w:val="24"/>
        </w:rPr>
        <w:t>g and discrimination in lending.</w:t>
      </w:r>
      <w:r w:rsidRPr="00473C61">
        <w:rPr>
          <w:rFonts w:ascii="Times New Roman" w:hAnsi="Times New Roman" w:cs="Times New Roman"/>
          <w:sz w:val="24"/>
          <w:szCs w:val="24"/>
        </w:rPr>
        <w:t xml:space="preserve"> </w:t>
      </w:r>
      <w:r w:rsidR="00A410B2" w:rsidRPr="00473C61">
        <w:rPr>
          <w:rFonts w:ascii="Times New Roman" w:hAnsi="Times New Roman" w:cs="Times New Roman"/>
          <w:sz w:val="24"/>
          <w:szCs w:val="24"/>
        </w:rPr>
        <w:t>Journal of Financial Services Research</w:t>
      </w:r>
      <w:r w:rsidR="00337B05" w:rsidRPr="00473C61">
        <w:rPr>
          <w:rFonts w:ascii="Times New Roman" w:hAnsi="Times New Roman" w:cs="Times New Roman"/>
          <w:sz w:val="24"/>
          <w:szCs w:val="24"/>
        </w:rPr>
        <w:t xml:space="preserve"> </w:t>
      </w:r>
      <w:r w:rsidRPr="00473C61">
        <w:rPr>
          <w:rFonts w:ascii="Times New Roman" w:hAnsi="Times New Roman" w:cs="Times New Roman"/>
          <w:sz w:val="24"/>
          <w:szCs w:val="24"/>
        </w:rPr>
        <w:t>40,</w:t>
      </w:r>
      <w:r w:rsidR="00603616" w:rsidRPr="00473C61">
        <w:rPr>
          <w:rFonts w:ascii="Times New Roman" w:hAnsi="Times New Roman" w:cs="Times New Roman"/>
          <w:sz w:val="24"/>
          <w:szCs w:val="24"/>
        </w:rPr>
        <w:t xml:space="preserve"> </w:t>
      </w:r>
      <w:r w:rsidRPr="00473C61">
        <w:rPr>
          <w:rFonts w:ascii="Times New Roman" w:hAnsi="Times New Roman" w:cs="Times New Roman"/>
          <w:sz w:val="24"/>
          <w:szCs w:val="24"/>
        </w:rPr>
        <w:t>1-27</w:t>
      </w:r>
      <w:r w:rsidR="00603616" w:rsidRPr="00473C61">
        <w:rPr>
          <w:rFonts w:ascii="Times New Roman" w:hAnsi="Times New Roman" w:cs="Times New Roman"/>
          <w:sz w:val="24"/>
          <w:szCs w:val="24"/>
        </w:rPr>
        <w:t>.</w:t>
      </w:r>
      <w:r w:rsidRPr="00473C61">
        <w:rPr>
          <w:rFonts w:ascii="Times New Roman" w:hAnsi="Times New Roman" w:cs="Times New Roman"/>
          <w:sz w:val="24"/>
          <w:szCs w:val="24"/>
        </w:rPr>
        <w:t xml:space="preserve">  </w:t>
      </w:r>
    </w:p>
    <w:p w:rsidR="004E1B96" w:rsidRPr="00473C61" w:rsidRDefault="00F201DD" w:rsidP="00311CEB">
      <w:pPr>
        <w:pStyle w:val="PreformattatoHTML"/>
        <w:spacing w:before="240"/>
        <w:jc w:val="both"/>
        <w:rPr>
          <w:rFonts w:ascii="Times New Roman" w:hAnsi="Times New Roman" w:cs="Times New Roman"/>
          <w:sz w:val="24"/>
          <w:szCs w:val="24"/>
        </w:rPr>
      </w:pPr>
      <w:r w:rsidRPr="00473C61">
        <w:rPr>
          <w:rFonts w:ascii="Times New Roman" w:hAnsi="Times New Roman" w:cs="Times New Roman"/>
          <w:sz w:val="24"/>
          <w:szCs w:val="24"/>
        </w:rPr>
        <w:t>Hawley, C.B.</w:t>
      </w:r>
      <w:r w:rsidR="00337B05" w:rsidRPr="00473C61">
        <w:rPr>
          <w:rFonts w:ascii="Times New Roman" w:hAnsi="Times New Roman" w:cs="Times New Roman"/>
          <w:sz w:val="24"/>
          <w:szCs w:val="24"/>
        </w:rPr>
        <w:t xml:space="preserve">, </w:t>
      </w:r>
      <w:r w:rsidR="00851247" w:rsidRPr="00473C61">
        <w:rPr>
          <w:rFonts w:ascii="Times New Roman" w:hAnsi="Times New Roman" w:cs="Times New Roman"/>
          <w:sz w:val="24"/>
          <w:szCs w:val="24"/>
        </w:rPr>
        <w:t>Fujii</w:t>
      </w:r>
      <w:r w:rsidRPr="00473C61">
        <w:rPr>
          <w:rFonts w:ascii="Times New Roman" w:hAnsi="Times New Roman" w:cs="Times New Roman"/>
          <w:sz w:val="24"/>
          <w:szCs w:val="24"/>
        </w:rPr>
        <w:t>, E</w:t>
      </w:r>
      <w:r w:rsidR="00337B05" w:rsidRPr="00473C61">
        <w:rPr>
          <w:rFonts w:ascii="Times New Roman" w:hAnsi="Times New Roman" w:cs="Times New Roman"/>
          <w:sz w:val="24"/>
          <w:szCs w:val="24"/>
        </w:rPr>
        <w:t>.</w:t>
      </w:r>
      <w:r w:rsidRPr="00473C61">
        <w:rPr>
          <w:rFonts w:ascii="Times New Roman" w:hAnsi="Times New Roman" w:cs="Times New Roman"/>
          <w:sz w:val="24"/>
          <w:szCs w:val="24"/>
        </w:rPr>
        <w:t>T.</w:t>
      </w:r>
      <w:r w:rsidR="00337B05" w:rsidRPr="00473C61">
        <w:rPr>
          <w:rFonts w:ascii="Times New Roman" w:hAnsi="Times New Roman" w:cs="Times New Roman"/>
          <w:sz w:val="24"/>
          <w:szCs w:val="24"/>
        </w:rPr>
        <w:t>,</w:t>
      </w:r>
      <w:r w:rsidRPr="00473C61">
        <w:rPr>
          <w:rFonts w:ascii="Times New Roman" w:hAnsi="Times New Roman" w:cs="Times New Roman"/>
          <w:sz w:val="24"/>
          <w:szCs w:val="24"/>
        </w:rPr>
        <w:t xml:space="preserve"> 1991.</w:t>
      </w:r>
      <w:r w:rsidR="00851247" w:rsidRPr="00473C61">
        <w:rPr>
          <w:rFonts w:ascii="Times New Roman" w:hAnsi="Times New Roman" w:cs="Times New Roman"/>
          <w:sz w:val="24"/>
          <w:szCs w:val="24"/>
        </w:rPr>
        <w:t xml:space="preserve"> </w:t>
      </w:r>
      <w:r w:rsidR="00047721" w:rsidRPr="00473C61">
        <w:rPr>
          <w:rFonts w:ascii="Times New Roman" w:hAnsi="Times New Roman" w:cs="Times New Roman"/>
          <w:sz w:val="24"/>
          <w:szCs w:val="24"/>
        </w:rPr>
        <w:t>Discrimination in the consumer credit market</w:t>
      </w:r>
      <w:r w:rsidR="00337B05" w:rsidRPr="00473C61">
        <w:rPr>
          <w:rFonts w:ascii="Times New Roman" w:hAnsi="Times New Roman" w:cs="Times New Roman"/>
          <w:sz w:val="24"/>
          <w:szCs w:val="24"/>
        </w:rPr>
        <w:t>.</w:t>
      </w:r>
      <w:r w:rsidR="00851247" w:rsidRPr="00473C61">
        <w:rPr>
          <w:rFonts w:ascii="Times New Roman" w:hAnsi="Times New Roman" w:cs="Times New Roman"/>
          <w:sz w:val="24"/>
          <w:szCs w:val="24"/>
        </w:rPr>
        <w:t xml:space="preserve"> </w:t>
      </w:r>
      <w:r w:rsidR="00A410B2" w:rsidRPr="00473C61">
        <w:rPr>
          <w:rFonts w:ascii="Times New Roman" w:hAnsi="Times New Roman" w:cs="Times New Roman"/>
          <w:sz w:val="24"/>
          <w:szCs w:val="24"/>
        </w:rPr>
        <w:t>Eastern Economic Journal</w:t>
      </w:r>
      <w:r w:rsidR="00047721" w:rsidRPr="00473C61">
        <w:rPr>
          <w:rFonts w:ascii="Times New Roman" w:hAnsi="Times New Roman" w:cs="Times New Roman"/>
          <w:sz w:val="24"/>
          <w:szCs w:val="24"/>
        </w:rPr>
        <w:t xml:space="preserve"> </w:t>
      </w:r>
      <w:r w:rsidR="00851247" w:rsidRPr="00473C61">
        <w:rPr>
          <w:rFonts w:ascii="Times New Roman" w:hAnsi="Times New Roman" w:cs="Times New Roman"/>
          <w:sz w:val="24"/>
          <w:szCs w:val="24"/>
        </w:rPr>
        <w:t>17, 21-30</w:t>
      </w:r>
      <w:r w:rsidR="00047721" w:rsidRPr="00473C61">
        <w:rPr>
          <w:rFonts w:ascii="Times New Roman" w:hAnsi="Times New Roman" w:cs="Times New Roman"/>
          <w:sz w:val="24"/>
          <w:szCs w:val="24"/>
        </w:rPr>
        <w:t>.</w:t>
      </w:r>
    </w:p>
    <w:p w:rsidR="004E1B96" w:rsidRPr="00473C61" w:rsidRDefault="00851247" w:rsidP="00311CEB">
      <w:pPr>
        <w:pStyle w:val="PreformattatoHTML"/>
        <w:spacing w:before="240"/>
        <w:jc w:val="both"/>
        <w:rPr>
          <w:rFonts w:ascii="Times New Roman" w:hAnsi="Times New Roman" w:cs="Times New Roman"/>
          <w:sz w:val="24"/>
          <w:szCs w:val="24"/>
        </w:rPr>
      </w:pPr>
      <w:r w:rsidRPr="00473C61">
        <w:rPr>
          <w:rFonts w:ascii="Times New Roman" w:hAnsi="Times New Roman" w:cs="Times New Roman"/>
          <w:sz w:val="24"/>
          <w:szCs w:val="24"/>
        </w:rPr>
        <w:t>Horne</w:t>
      </w:r>
      <w:r w:rsidR="00F201DD" w:rsidRPr="00473C61">
        <w:rPr>
          <w:rFonts w:ascii="Times New Roman" w:hAnsi="Times New Roman" w:cs="Times New Roman"/>
          <w:sz w:val="24"/>
          <w:szCs w:val="24"/>
        </w:rPr>
        <w:t>,</w:t>
      </w:r>
      <w:r w:rsidRPr="00473C61">
        <w:rPr>
          <w:rFonts w:ascii="Times New Roman" w:hAnsi="Times New Roman" w:cs="Times New Roman"/>
          <w:sz w:val="24"/>
          <w:szCs w:val="24"/>
        </w:rPr>
        <w:t xml:space="preserve"> D</w:t>
      </w:r>
      <w:r w:rsidR="00F201DD" w:rsidRPr="00473C61">
        <w:rPr>
          <w:rFonts w:ascii="Times New Roman" w:hAnsi="Times New Roman" w:cs="Times New Roman"/>
          <w:sz w:val="24"/>
          <w:szCs w:val="24"/>
        </w:rPr>
        <w:t>.</w:t>
      </w:r>
      <w:r w:rsidRPr="00473C61">
        <w:rPr>
          <w:rFonts w:ascii="Times New Roman" w:hAnsi="Times New Roman" w:cs="Times New Roman"/>
          <w:sz w:val="24"/>
          <w:szCs w:val="24"/>
        </w:rPr>
        <w:t>K.</w:t>
      </w:r>
      <w:r w:rsidR="00337B05" w:rsidRPr="00473C61">
        <w:rPr>
          <w:rFonts w:ascii="Times New Roman" w:hAnsi="Times New Roman" w:cs="Times New Roman"/>
          <w:sz w:val="24"/>
          <w:szCs w:val="24"/>
        </w:rPr>
        <w:t>,</w:t>
      </w:r>
      <w:r w:rsidR="00047721" w:rsidRPr="00473C61">
        <w:rPr>
          <w:rFonts w:ascii="Times New Roman" w:hAnsi="Times New Roman" w:cs="Times New Roman"/>
          <w:sz w:val="24"/>
          <w:szCs w:val="24"/>
        </w:rPr>
        <w:t xml:space="preserve"> </w:t>
      </w:r>
      <w:r w:rsidRPr="00473C61">
        <w:rPr>
          <w:rFonts w:ascii="Times New Roman" w:hAnsi="Times New Roman" w:cs="Times New Roman"/>
          <w:sz w:val="24"/>
          <w:szCs w:val="24"/>
        </w:rPr>
        <w:t>1994. Evaluating the role of race in mortgage lending</w:t>
      </w:r>
      <w:r w:rsidR="00337B05" w:rsidRPr="00473C61">
        <w:rPr>
          <w:rFonts w:ascii="Times New Roman" w:hAnsi="Times New Roman" w:cs="Times New Roman"/>
          <w:sz w:val="24"/>
          <w:szCs w:val="24"/>
        </w:rPr>
        <w:t>.</w:t>
      </w:r>
      <w:r w:rsidRPr="00473C61">
        <w:rPr>
          <w:rFonts w:ascii="Times New Roman" w:hAnsi="Times New Roman" w:cs="Times New Roman"/>
          <w:sz w:val="24"/>
          <w:szCs w:val="24"/>
        </w:rPr>
        <w:t xml:space="preserve"> </w:t>
      </w:r>
      <w:r w:rsidR="00A410B2" w:rsidRPr="00473C61">
        <w:rPr>
          <w:rFonts w:ascii="Times New Roman" w:hAnsi="Times New Roman" w:cs="Times New Roman"/>
          <w:sz w:val="24"/>
          <w:szCs w:val="24"/>
        </w:rPr>
        <w:t>FDIC Banking Review</w:t>
      </w:r>
      <w:r w:rsidR="00047721" w:rsidRPr="00473C61">
        <w:rPr>
          <w:rFonts w:ascii="Times New Roman" w:hAnsi="Times New Roman" w:cs="Times New Roman"/>
          <w:sz w:val="24"/>
          <w:szCs w:val="24"/>
        </w:rPr>
        <w:t xml:space="preserve">, </w:t>
      </w:r>
      <w:r w:rsidR="00F201DD" w:rsidRPr="00473C61">
        <w:rPr>
          <w:rFonts w:ascii="Times New Roman" w:hAnsi="Times New Roman" w:cs="Times New Roman"/>
          <w:sz w:val="24"/>
          <w:szCs w:val="24"/>
        </w:rPr>
        <w:t xml:space="preserve">Spring/Summer, </w:t>
      </w:r>
      <w:r w:rsidRPr="00473C61">
        <w:rPr>
          <w:rFonts w:ascii="Times New Roman" w:hAnsi="Times New Roman" w:cs="Times New Roman"/>
          <w:sz w:val="24"/>
          <w:szCs w:val="24"/>
        </w:rPr>
        <w:t>1–15</w:t>
      </w:r>
    </w:p>
    <w:p w:rsidR="004E1B96" w:rsidRPr="00473C61" w:rsidRDefault="005B5C87" w:rsidP="00311CEB">
      <w:pPr>
        <w:spacing w:before="240" w:after="0" w:line="240" w:lineRule="auto"/>
        <w:jc w:val="both"/>
        <w:rPr>
          <w:rFonts w:ascii="Times New Roman" w:hAnsi="Times New Roman"/>
          <w:sz w:val="24"/>
          <w:szCs w:val="24"/>
        </w:rPr>
      </w:pPr>
      <w:r w:rsidRPr="00473C61">
        <w:rPr>
          <w:rFonts w:ascii="Times New Roman" w:hAnsi="Times New Roman"/>
          <w:sz w:val="24"/>
          <w:szCs w:val="24"/>
        </w:rPr>
        <w:t>Hogarth, J.M., Anguelov, C.E</w:t>
      </w:r>
      <w:r w:rsidR="00047721" w:rsidRPr="00473C61">
        <w:rPr>
          <w:rFonts w:ascii="Times New Roman" w:hAnsi="Times New Roman"/>
          <w:sz w:val="24"/>
          <w:szCs w:val="24"/>
        </w:rPr>
        <w:t>.</w:t>
      </w:r>
      <w:r w:rsidR="009C71E5" w:rsidRPr="00473C61">
        <w:rPr>
          <w:rFonts w:ascii="Times New Roman" w:hAnsi="Times New Roman"/>
          <w:sz w:val="24"/>
          <w:szCs w:val="24"/>
        </w:rPr>
        <w:t>,</w:t>
      </w:r>
      <w:r w:rsidR="00047721" w:rsidRPr="00473C61">
        <w:rPr>
          <w:rFonts w:ascii="Times New Roman" w:hAnsi="Times New Roman"/>
          <w:sz w:val="24"/>
          <w:szCs w:val="24"/>
        </w:rPr>
        <w:t xml:space="preserve"> </w:t>
      </w:r>
      <w:r w:rsidRPr="00473C61">
        <w:rPr>
          <w:rFonts w:ascii="Times New Roman" w:hAnsi="Times New Roman"/>
          <w:sz w:val="24"/>
          <w:szCs w:val="24"/>
        </w:rPr>
        <w:t>Lee, J.</w:t>
      </w:r>
      <w:r w:rsidR="009C71E5" w:rsidRPr="00473C61">
        <w:rPr>
          <w:rFonts w:ascii="Times New Roman" w:hAnsi="Times New Roman"/>
          <w:sz w:val="24"/>
          <w:szCs w:val="24"/>
        </w:rPr>
        <w:t>,</w:t>
      </w:r>
      <w:r w:rsidRPr="00473C61">
        <w:rPr>
          <w:rFonts w:ascii="Times New Roman" w:hAnsi="Times New Roman"/>
          <w:sz w:val="24"/>
          <w:szCs w:val="24"/>
        </w:rPr>
        <w:t xml:space="preserve"> 2005. Who has a bank account? </w:t>
      </w:r>
      <w:r w:rsidR="009C71E5" w:rsidRPr="00473C61">
        <w:rPr>
          <w:rFonts w:ascii="Times New Roman" w:hAnsi="Times New Roman"/>
          <w:sz w:val="24"/>
          <w:szCs w:val="24"/>
        </w:rPr>
        <w:t>E</w:t>
      </w:r>
      <w:r w:rsidR="00047721" w:rsidRPr="00473C61">
        <w:rPr>
          <w:rFonts w:ascii="Times New Roman" w:hAnsi="Times New Roman"/>
          <w:sz w:val="24"/>
          <w:szCs w:val="24"/>
        </w:rPr>
        <w:t>xploring changes over time</w:t>
      </w:r>
      <w:r w:rsidR="009C71E5" w:rsidRPr="00473C61">
        <w:rPr>
          <w:rFonts w:ascii="Times New Roman" w:hAnsi="Times New Roman"/>
          <w:sz w:val="24"/>
          <w:szCs w:val="24"/>
        </w:rPr>
        <w:t xml:space="preserve"> 1989-</w:t>
      </w:r>
      <w:r w:rsidR="00047721" w:rsidRPr="00473C61">
        <w:rPr>
          <w:rFonts w:ascii="Times New Roman" w:hAnsi="Times New Roman"/>
          <w:sz w:val="24"/>
          <w:szCs w:val="24"/>
        </w:rPr>
        <w:t>2001</w:t>
      </w:r>
      <w:r w:rsidR="009C71E5" w:rsidRPr="00473C61">
        <w:rPr>
          <w:rFonts w:ascii="Times New Roman" w:hAnsi="Times New Roman"/>
          <w:sz w:val="24"/>
          <w:szCs w:val="24"/>
        </w:rPr>
        <w:t>.</w:t>
      </w:r>
      <w:r w:rsidR="00047721" w:rsidRPr="00473C61">
        <w:rPr>
          <w:rFonts w:ascii="Times New Roman" w:hAnsi="Times New Roman"/>
          <w:sz w:val="24"/>
          <w:szCs w:val="24"/>
        </w:rPr>
        <w:t xml:space="preserve"> </w:t>
      </w:r>
      <w:r w:rsidR="00A410B2" w:rsidRPr="00473C61">
        <w:rPr>
          <w:rFonts w:ascii="Times New Roman" w:hAnsi="Times New Roman"/>
          <w:sz w:val="24"/>
          <w:szCs w:val="24"/>
        </w:rPr>
        <w:t>Journal of Family and Economic Issues</w:t>
      </w:r>
      <w:r w:rsidR="00CE4A22" w:rsidRPr="00473C61">
        <w:rPr>
          <w:rFonts w:ascii="Times New Roman" w:hAnsi="Times New Roman"/>
          <w:sz w:val="24"/>
          <w:szCs w:val="24"/>
        </w:rPr>
        <w:t xml:space="preserve"> </w:t>
      </w:r>
      <w:r w:rsidRPr="00473C61">
        <w:rPr>
          <w:rFonts w:ascii="Times New Roman" w:hAnsi="Times New Roman"/>
          <w:sz w:val="24"/>
          <w:szCs w:val="24"/>
        </w:rPr>
        <w:t>26, 7-30.</w:t>
      </w:r>
    </w:p>
    <w:p w:rsidR="004E1B96" w:rsidRPr="00473C61" w:rsidRDefault="009C71E5" w:rsidP="00311CEB">
      <w:pPr>
        <w:spacing w:before="240" w:after="0" w:line="240" w:lineRule="auto"/>
        <w:jc w:val="both"/>
        <w:rPr>
          <w:rFonts w:ascii="Times New Roman" w:hAnsi="Times New Roman"/>
          <w:sz w:val="24"/>
          <w:szCs w:val="24"/>
        </w:rPr>
      </w:pPr>
      <w:r w:rsidRPr="00473C61">
        <w:rPr>
          <w:rFonts w:ascii="Times New Roman" w:hAnsi="Times New Roman"/>
          <w:sz w:val="24"/>
          <w:szCs w:val="24"/>
        </w:rPr>
        <w:t xml:space="preserve">Hogarth, J.M., </w:t>
      </w:r>
      <w:r w:rsidR="005B5C87" w:rsidRPr="00473C61">
        <w:rPr>
          <w:rFonts w:ascii="Times New Roman" w:hAnsi="Times New Roman"/>
          <w:sz w:val="24"/>
          <w:szCs w:val="24"/>
        </w:rPr>
        <w:t>O</w:t>
      </w:r>
      <w:r w:rsidRPr="00473C61">
        <w:rPr>
          <w:rFonts w:ascii="Times New Roman" w:hAnsi="Times New Roman"/>
          <w:sz w:val="24"/>
          <w:szCs w:val="24"/>
        </w:rPr>
        <w:t>’Donnell, K.</w:t>
      </w:r>
      <w:r w:rsidR="005B5C87" w:rsidRPr="00473C61">
        <w:rPr>
          <w:rFonts w:ascii="Times New Roman" w:hAnsi="Times New Roman"/>
          <w:sz w:val="24"/>
          <w:szCs w:val="24"/>
        </w:rPr>
        <w:t>H.</w:t>
      </w:r>
      <w:r w:rsidRPr="00473C61">
        <w:rPr>
          <w:rFonts w:ascii="Times New Roman" w:hAnsi="Times New Roman"/>
          <w:sz w:val="24"/>
          <w:szCs w:val="24"/>
        </w:rPr>
        <w:t>,</w:t>
      </w:r>
      <w:r w:rsidR="005B5C87" w:rsidRPr="00473C61">
        <w:rPr>
          <w:rFonts w:ascii="Times New Roman" w:hAnsi="Times New Roman"/>
          <w:sz w:val="24"/>
          <w:szCs w:val="24"/>
        </w:rPr>
        <w:t xml:space="preserve"> 2000. If you build it, will they come? A </w:t>
      </w:r>
      <w:r w:rsidR="00CE4A22" w:rsidRPr="00473C61">
        <w:rPr>
          <w:rFonts w:ascii="Times New Roman" w:hAnsi="Times New Roman"/>
          <w:sz w:val="24"/>
          <w:szCs w:val="24"/>
        </w:rPr>
        <w:t>simulation of financial product holdings among lo</w:t>
      </w:r>
      <w:r w:rsidRPr="00473C61">
        <w:rPr>
          <w:rFonts w:ascii="Times New Roman" w:hAnsi="Times New Roman"/>
          <w:sz w:val="24"/>
          <w:szCs w:val="24"/>
        </w:rPr>
        <w:t>w-to-moderate income households.</w:t>
      </w:r>
      <w:r w:rsidR="005B5C87" w:rsidRPr="00473C61">
        <w:rPr>
          <w:rFonts w:ascii="Times New Roman" w:hAnsi="Times New Roman"/>
          <w:sz w:val="24"/>
          <w:szCs w:val="24"/>
        </w:rPr>
        <w:t xml:space="preserve"> </w:t>
      </w:r>
      <w:r w:rsidR="00A410B2" w:rsidRPr="00473C61">
        <w:rPr>
          <w:rFonts w:ascii="Times New Roman" w:hAnsi="Times New Roman"/>
          <w:sz w:val="24"/>
          <w:szCs w:val="24"/>
        </w:rPr>
        <w:t>Journal of Consumer Policy</w:t>
      </w:r>
      <w:r w:rsidR="00CE4A22" w:rsidRPr="00473C61">
        <w:rPr>
          <w:rFonts w:ascii="Times New Roman" w:hAnsi="Times New Roman"/>
          <w:sz w:val="24"/>
          <w:szCs w:val="24"/>
        </w:rPr>
        <w:t xml:space="preserve"> </w:t>
      </w:r>
      <w:r w:rsidR="005B5C87" w:rsidRPr="00473C61">
        <w:rPr>
          <w:rFonts w:ascii="Times New Roman" w:hAnsi="Times New Roman"/>
          <w:sz w:val="24"/>
          <w:szCs w:val="24"/>
        </w:rPr>
        <w:t>234</w:t>
      </w:r>
      <w:r w:rsidR="00CE4A22" w:rsidRPr="00473C61">
        <w:rPr>
          <w:rFonts w:ascii="Times New Roman" w:hAnsi="Times New Roman"/>
          <w:sz w:val="24"/>
          <w:szCs w:val="24"/>
        </w:rPr>
        <w:t>,</w:t>
      </w:r>
      <w:r w:rsidR="005B5C87" w:rsidRPr="00473C61">
        <w:rPr>
          <w:rFonts w:ascii="Times New Roman" w:hAnsi="Times New Roman"/>
          <w:sz w:val="24"/>
          <w:szCs w:val="24"/>
        </w:rPr>
        <w:t xml:space="preserve"> 419–</w:t>
      </w:r>
      <w:r w:rsidRPr="00473C61">
        <w:rPr>
          <w:rFonts w:ascii="Times New Roman" w:hAnsi="Times New Roman"/>
          <w:sz w:val="24"/>
          <w:szCs w:val="24"/>
        </w:rPr>
        <w:t>4</w:t>
      </w:r>
      <w:r w:rsidR="005B5C87" w:rsidRPr="00473C61">
        <w:rPr>
          <w:rFonts w:ascii="Times New Roman" w:hAnsi="Times New Roman"/>
          <w:sz w:val="24"/>
          <w:szCs w:val="24"/>
        </w:rPr>
        <w:t>44.</w:t>
      </w:r>
    </w:p>
    <w:p w:rsidR="00926F3F" w:rsidRPr="00473C61" w:rsidRDefault="00E0741B" w:rsidP="00311CEB">
      <w:pPr>
        <w:spacing w:before="240" w:after="0" w:line="240" w:lineRule="auto"/>
        <w:jc w:val="both"/>
        <w:rPr>
          <w:rFonts w:ascii="Times New Roman" w:hAnsi="Times New Roman"/>
          <w:sz w:val="24"/>
          <w:szCs w:val="24"/>
        </w:rPr>
      </w:pPr>
      <w:r w:rsidRPr="00473C61">
        <w:rPr>
          <w:rFonts w:ascii="Times New Roman" w:hAnsi="Times New Roman"/>
          <w:sz w:val="24"/>
          <w:szCs w:val="24"/>
        </w:rPr>
        <w:t>IMF/World Bank (2</w:t>
      </w:r>
      <w:r w:rsidR="00F80D29" w:rsidRPr="00473C61">
        <w:rPr>
          <w:rFonts w:ascii="Times New Roman" w:hAnsi="Times New Roman"/>
          <w:sz w:val="24"/>
          <w:szCs w:val="24"/>
        </w:rPr>
        <w:t>0</w:t>
      </w:r>
      <w:r w:rsidRPr="00473C61">
        <w:rPr>
          <w:rFonts w:ascii="Times New Roman" w:hAnsi="Times New Roman"/>
          <w:sz w:val="24"/>
          <w:szCs w:val="24"/>
        </w:rPr>
        <w:t>13) Financial Inclusion in Br</w:t>
      </w:r>
      <w:r w:rsidR="00BA4353" w:rsidRPr="00473C61">
        <w:rPr>
          <w:rFonts w:ascii="Times New Roman" w:hAnsi="Times New Roman"/>
          <w:sz w:val="24"/>
          <w:szCs w:val="24"/>
        </w:rPr>
        <w:t>a</w:t>
      </w:r>
      <w:r w:rsidRPr="00473C61">
        <w:rPr>
          <w:rFonts w:ascii="Times New Roman" w:hAnsi="Times New Roman"/>
          <w:sz w:val="24"/>
          <w:szCs w:val="24"/>
        </w:rPr>
        <w:t xml:space="preserve">zil. Building on Success, Financial Sector Assessment Program Technical Note, May, Washington DC: World Bank/IMF. </w:t>
      </w:r>
    </w:p>
    <w:p w:rsidR="004E1B96" w:rsidRPr="00473C61" w:rsidRDefault="00183981" w:rsidP="00311CEB">
      <w:pPr>
        <w:spacing w:before="240" w:after="0" w:line="240" w:lineRule="auto"/>
        <w:jc w:val="both"/>
        <w:rPr>
          <w:rFonts w:ascii="Times New Roman" w:hAnsi="Times New Roman"/>
          <w:sz w:val="24"/>
          <w:szCs w:val="24"/>
        </w:rPr>
      </w:pPr>
      <w:r w:rsidRPr="00473C61">
        <w:rPr>
          <w:rFonts w:ascii="Times New Roman" w:hAnsi="Times New Roman"/>
          <w:sz w:val="24"/>
          <w:szCs w:val="24"/>
        </w:rPr>
        <w:t xml:space="preserve">Kempson, E., </w:t>
      </w:r>
      <w:r w:rsidR="005B5C87" w:rsidRPr="00473C61">
        <w:rPr>
          <w:rFonts w:ascii="Times New Roman" w:hAnsi="Times New Roman"/>
          <w:sz w:val="24"/>
          <w:szCs w:val="24"/>
        </w:rPr>
        <w:t>Whyley, C.</w:t>
      </w:r>
      <w:r w:rsidRPr="00473C61">
        <w:rPr>
          <w:rFonts w:ascii="Times New Roman" w:hAnsi="Times New Roman"/>
          <w:sz w:val="24"/>
          <w:szCs w:val="24"/>
        </w:rPr>
        <w:t>,</w:t>
      </w:r>
      <w:r w:rsidR="00CE4A22" w:rsidRPr="00473C61">
        <w:rPr>
          <w:rFonts w:ascii="Times New Roman" w:hAnsi="Times New Roman"/>
          <w:sz w:val="24"/>
          <w:szCs w:val="24"/>
        </w:rPr>
        <w:t xml:space="preserve"> </w:t>
      </w:r>
      <w:r w:rsidR="005B5C87" w:rsidRPr="00473C61">
        <w:rPr>
          <w:rFonts w:ascii="Times New Roman" w:hAnsi="Times New Roman"/>
          <w:sz w:val="24"/>
          <w:szCs w:val="24"/>
        </w:rPr>
        <w:t xml:space="preserve">1999. </w:t>
      </w:r>
      <w:r w:rsidR="00A410B2" w:rsidRPr="00473C61">
        <w:rPr>
          <w:rFonts w:ascii="Times New Roman" w:hAnsi="Times New Roman"/>
          <w:sz w:val="24"/>
          <w:szCs w:val="24"/>
        </w:rPr>
        <w:t>Understanding and combating financial exclusion</w:t>
      </w:r>
      <w:r w:rsidRPr="00473C61">
        <w:rPr>
          <w:rFonts w:ascii="Times New Roman" w:hAnsi="Times New Roman"/>
          <w:sz w:val="24"/>
          <w:szCs w:val="24"/>
        </w:rPr>
        <w:t>.</w:t>
      </w:r>
      <w:r w:rsidR="005B5C87" w:rsidRPr="00473C61">
        <w:rPr>
          <w:rFonts w:ascii="Times New Roman" w:hAnsi="Times New Roman"/>
          <w:sz w:val="24"/>
          <w:szCs w:val="24"/>
        </w:rPr>
        <w:t xml:space="preserve"> York: Joseph Rowntree Foundation.</w:t>
      </w:r>
    </w:p>
    <w:p w:rsidR="00A418FC" w:rsidRPr="00473C61" w:rsidRDefault="00A418FC" w:rsidP="00311CEB">
      <w:pPr>
        <w:pStyle w:val="PreformattatoHTML"/>
        <w:spacing w:before="240"/>
        <w:jc w:val="both"/>
        <w:rPr>
          <w:rFonts w:ascii="Times New Roman" w:hAnsi="Times New Roman" w:cs="Times New Roman"/>
          <w:sz w:val="24"/>
          <w:szCs w:val="24"/>
        </w:rPr>
      </w:pPr>
      <w:r w:rsidRPr="00473C61">
        <w:rPr>
          <w:rFonts w:ascii="Times New Roman" w:hAnsi="Times New Roman" w:cs="Times New Roman"/>
          <w:sz w:val="24"/>
          <w:szCs w:val="24"/>
        </w:rPr>
        <w:t>Khan, O., 2008. Financial Inclusion and Ethnicity: An Agenda for Research and Policy Action. Runnymede Trust, London.</w:t>
      </w:r>
    </w:p>
    <w:p w:rsidR="004E1B96" w:rsidRPr="00473C61" w:rsidRDefault="00851247" w:rsidP="00311CEB">
      <w:pPr>
        <w:pStyle w:val="PreformattatoHTML"/>
        <w:spacing w:before="240"/>
        <w:jc w:val="both"/>
        <w:rPr>
          <w:rFonts w:ascii="Times New Roman" w:hAnsi="Times New Roman" w:cs="Times New Roman"/>
          <w:sz w:val="24"/>
          <w:szCs w:val="24"/>
        </w:rPr>
      </w:pPr>
      <w:r w:rsidRPr="00473C61">
        <w:rPr>
          <w:rFonts w:ascii="Times New Roman" w:hAnsi="Times New Roman" w:cs="Times New Roman"/>
          <w:sz w:val="24"/>
          <w:szCs w:val="24"/>
        </w:rPr>
        <w:t>Ladd</w:t>
      </w:r>
      <w:r w:rsidR="00F201DD" w:rsidRPr="00473C61">
        <w:rPr>
          <w:rFonts w:ascii="Times New Roman" w:hAnsi="Times New Roman" w:cs="Times New Roman"/>
          <w:sz w:val="24"/>
          <w:szCs w:val="24"/>
        </w:rPr>
        <w:t>,</w:t>
      </w:r>
      <w:r w:rsidRPr="00473C61">
        <w:rPr>
          <w:rFonts w:ascii="Times New Roman" w:hAnsi="Times New Roman" w:cs="Times New Roman"/>
          <w:sz w:val="24"/>
          <w:szCs w:val="24"/>
        </w:rPr>
        <w:t xml:space="preserve"> H</w:t>
      </w:r>
      <w:r w:rsidR="00F201DD" w:rsidRPr="00473C61">
        <w:rPr>
          <w:rFonts w:ascii="Times New Roman" w:hAnsi="Times New Roman" w:cs="Times New Roman"/>
          <w:sz w:val="24"/>
          <w:szCs w:val="24"/>
        </w:rPr>
        <w:t>.</w:t>
      </w:r>
      <w:r w:rsidRPr="00473C61">
        <w:rPr>
          <w:rFonts w:ascii="Times New Roman" w:hAnsi="Times New Roman" w:cs="Times New Roman"/>
          <w:sz w:val="24"/>
          <w:szCs w:val="24"/>
        </w:rPr>
        <w:t>F.</w:t>
      </w:r>
      <w:r w:rsidR="00183981" w:rsidRPr="00473C61">
        <w:rPr>
          <w:rFonts w:ascii="Times New Roman" w:hAnsi="Times New Roman" w:cs="Times New Roman"/>
          <w:sz w:val="24"/>
          <w:szCs w:val="24"/>
        </w:rPr>
        <w:t>,</w:t>
      </w:r>
      <w:r w:rsidR="006E04F0" w:rsidRPr="00473C61">
        <w:rPr>
          <w:rFonts w:ascii="Times New Roman" w:hAnsi="Times New Roman" w:cs="Times New Roman"/>
          <w:sz w:val="24"/>
          <w:szCs w:val="24"/>
        </w:rPr>
        <w:t xml:space="preserve"> </w:t>
      </w:r>
      <w:r w:rsidRPr="00473C61">
        <w:rPr>
          <w:rFonts w:ascii="Times New Roman" w:hAnsi="Times New Roman" w:cs="Times New Roman"/>
          <w:sz w:val="24"/>
          <w:szCs w:val="24"/>
        </w:rPr>
        <w:t>1998. Evidence on discrimination in mortgage lending</w:t>
      </w:r>
      <w:r w:rsidR="00183981" w:rsidRPr="00473C61">
        <w:rPr>
          <w:rFonts w:ascii="Times New Roman" w:hAnsi="Times New Roman" w:cs="Times New Roman"/>
          <w:sz w:val="24"/>
          <w:szCs w:val="24"/>
        </w:rPr>
        <w:t>.</w:t>
      </w:r>
      <w:r w:rsidRPr="00473C61">
        <w:rPr>
          <w:rFonts w:ascii="Times New Roman" w:hAnsi="Times New Roman" w:cs="Times New Roman"/>
          <w:sz w:val="24"/>
          <w:szCs w:val="24"/>
        </w:rPr>
        <w:t xml:space="preserve"> </w:t>
      </w:r>
      <w:r w:rsidR="00A410B2" w:rsidRPr="00473C61">
        <w:rPr>
          <w:rFonts w:ascii="Times New Roman" w:hAnsi="Times New Roman" w:cs="Times New Roman"/>
          <w:sz w:val="24"/>
          <w:szCs w:val="24"/>
        </w:rPr>
        <w:t>Journal of Economic Perspectives</w:t>
      </w:r>
      <w:r w:rsidR="006E04F0" w:rsidRPr="00473C61">
        <w:rPr>
          <w:rFonts w:ascii="Times New Roman" w:hAnsi="Times New Roman" w:cs="Times New Roman"/>
          <w:sz w:val="24"/>
          <w:szCs w:val="24"/>
        </w:rPr>
        <w:t xml:space="preserve"> </w:t>
      </w:r>
      <w:r w:rsidRPr="00473C61">
        <w:rPr>
          <w:rFonts w:ascii="Times New Roman" w:hAnsi="Times New Roman" w:cs="Times New Roman"/>
          <w:sz w:val="24"/>
          <w:szCs w:val="24"/>
        </w:rPr>
        <w:t>12</w:t>
      </w:r>
      <w:r w:rsidR="00F201DD" w:rsidRPr="00473C61">
        <w:rPr>
          <w:rFonts w:ascii="Times New Roman" w:hAnsi="Times New Roman" w:cs="Times New Roman"/>
          <w:sz w:val="24"/>
          <w:szCs w:val="24"/>
        </w:rPr>
        <w:t xml:space="preserve">, </w:t>
      </w:r>
      <w:r w:rsidRPr="00473C61">
        <w:rPr>
          <w:rFonts w:ascii="Times New Roman" w:hAnsi="Times New Roman" w:cs="Times New Roman"/>
          <w:sz w:val="24"/>
          <w:szCs w:val="24"/>
        </w:rPr>
        <w:t>41</w:t>
      </w:r>
      <w:r w:rsidR="00183981" w:rsidRPr="00473C61">
        <w:rPr>
          <w:rFonts w:ascii="Times New Roman" w:hAnsi="Times New Roman" w:cs="Times New Roman"/>
          <w:sz w:val="24"/>
          <w:szCs w:val="24"/>
        </w:rPr>
        <w:t>-</w:t>
      </w:r>
      <w:r w:rsidRPr="00473C61">
        <w:rPr>
          <w:rFonts w:ascii="Times New Roman" w:hAnsi="Times New Roman" w:cs="Times New Roman"/>
          <w:sz w:val="24"/>
          <w:szCs w:val="24"/>
        </w:rPr>
        <w:t>62</w:t>
      </w:r>
      <w:r w:rsidR="006E04F0" w:rsidRPr="00473C61">
        <w:rPr>
          <w:rFonts w:ascii="Times New Roman" w:hAnsi="Times New Roman" w:cs="Times New Roman"/>
          <w:sz w:val="24"/>
          <w:szCs w:val="24"/>
        </w:rPr>
        <w:t>.</w:t>
      </w:r>
    </w:p>
    <w:p w:rsidR="004E1B96" w:rsidRPr="00473C61" w:rsidRDefault="00851247" w:rsidP="00311CEB">
      <w:pPr>
        <w:pStyle w:val="PreformattatoHTML"/>
        <w:spacing w:before="240"/>
        <w:jc w:val="both"/>
        <w:rPr>
          <w:rFonts w:ascii="Times New Roman" w:hAnsi="Times New Roman" w:cs="Times New Roman"/>
          <w:sz w:val="24"/>
          <w:szCs w:val="24"/>
        </w:rPr>
      </w:pPr>
      <w:r w:rsidRPr="00473C61">
        <w:rPr>
          <w:rFonts w:ascii="Times New Roman" w:hAnsi="Times New Roman" w:cs="Times New Roman"/>
          <w:sz w:val="24"/>
          <w:szCs w:val="24"/>
        </w:rPr>
        <w:t>Lin, C</w:t>
      </w:r>
      <w:r w:rsidR="00B74689" w:rsidRPr="00473C61">
        <w:rPr>
          <w:rFonts w:ascii="Times New Roman" w:hAnsi="Times New Roman" w:cs="Times New Roman"/>
          <w:sz w:val="24"/>
          <w:szCs w:val="24"/>
        </w:rPr>
        <w:t>.</w:t>
      </w:r>
      <w:r w:rsidRPr="00473C61">
        <w:rPr>
          <w:rFonts w:ascii="Times New Roman" w:hAnsi="Times New Roman" w:cs="Times New Roman"/>
          <w:sz w:val="24"/>
          <w:szCs w:val="24"/>
        </w:rPr>
        <w:t>J</w:t>
      </w:r>
      <w:r w:rsidR="00B74689" w:rsidRPr="00473C61">
        <w:rPr>
          <w:rFonts w:ascii="Times New Roman" w:hAnsi="Times New Roman" w:cs="Times New Roman"/>
          <w:sz w:val="24"/>
          <w:szCs w:val="24"/>
        </w:rPr>
        <w:t xml:space="preserve">., </w:t>
      </w:r>
      <w:r w:rsidRPr="00473C61">
        <w:rPr>
          <w:rFonts w:ascii="Times New Roman" w:hAnsi="Times New Roman" w:cs="Times New Roman"/>
          <w:sz w:val="24"/>
          <w:szCs w:val="24"/>
        </w:rPr>
        <w:t>2010</w:t>
      </w:r>
      <w:r w:rsidR="00B74689" w:rsidRPr="00473C61">
        <w:rPr>
          <w:rFonts w:ascii="Times New Roman" w:hAnsi="Times New Roman" w:cs="Times New Roman"/>
          <w:sz w:val="24"/>
          <w:szCs w:val="24"/>
        </w:rPr>
        <w:t>.</w:t>
      </w:r>
      <w:r w:rsidRPr="00473C61">
        <w:rPr>
          <w:rFonts w:ascii="Times New Roman" w:hAnsi="Times New Roman" w:cs="Times New Roman"/>
          <w:sz w:val="24"/>
          <w:szCs w:val="24"/>
        </w:rPr>
        <w:t xml:space="preserve"> Racial Discrimination in the Consumer Credit Market</w:t>
      </w:r>
      <w:r w:rsidR="00183981" w:rsidRPr="00473C61">
        <w:rPr>
          <w:rFonts w:ascii="Times New Roman" w:hAnsi="Times New Roman" w:cs="Times New Roman"/>
          <w:sz w:val="24"/>
          <w:szCs w:val="24"/>
        </w:rPr>
        <w:t>.</w:t>
      </w:r>
      <w:r w:rsidRPr="00473C61">
        <w:rPr>
          <w:rFonts w:ascii="Times New Roman" w:hAnsi="Times New Roman" w:cs="Times New Roman"/>
          <w:sz w:val="24"/>
          <w:szCs w:val="24"/>
        </w:rPr>
        <w:t xml:space="preserve"> Ohio State University, Economics Department, Phd</w:t>
      </w:r>
      <w:r w:rsidR="00B74689" w:rsidRPr="00473C61">
        <w:rPr>
          <w:rFonts w:ascii="Times New Roman" w:hAnsi="Times New Roman" w:cs="Times New Roman"/>
          <w:sz w:val="24"/>
          <w:szCs w:val="24"/>
        </w:rPr>
        <w:t xml:space="preserve"> thesis</w:t>
      </w:r>
    </w:p>
    <w:p w:rsidR="004E1B96" w:rsidRPr="00473C61" w:rsidRDefault="00851247" w:rsidP="00311CEB">
      <w:pPr>
        <w:pStyle w:val="PreformattatoHTML"/>
        <w:spacing w:before="240"/>
        <w:jc w:val="both"/>
        <w:rPr>
          <w:rFonts w:ascii="Times New Roman" w:hAnsi="Times New Roman" w:cs="Times New Roman"/>
          <w:sz w:val="24"/>
          <w:szCs w:val="24"/>
        </w:rPr>
      </w:pPr>
      <w:r w:rsidRPr="00473C61">
        <w:rPr>
          <w:rFonts w:ascii="Times New Roman" w:hAnsi="Times New Roman" w:cs="Times New Roman"/>
          <w:sz w:val="24"/>
          <w:szCs w:val="24"/>
        </w:rPr>
        <w:t>Lindley, J.T., Selby Jr</w:t>
      </w:r>
      <w:r w:rsidR="00B74689" w:rsidRPr="00473C61">
        <w:rPr>
          <w:rFonts w:ascii="Times New Roman" w:hAnsi="Times New Roman" w:cs="Times New Roman"/>
          <w:sz w:val="24"/>
          <w:szCs w:val="24"/>
        </w:rPr>
        <w:t>.</w:t>
      </w:r>
      <w:r w:rsidR="007A7271" w:rsidRPr="00473C61">
        <w:rPr>
          <w:rFonts w:ascii="Times New Roman" w:hAnsi="Times New Roman" w:cs="Times New Roman"/>
          <w:sz w:val="24"/>
          <w:szCs w:val="24"/>
        </w:rPr>
        <w:t>, E</w:t>
      </w:r>
      <w:r w:rsidR="00183981" w:rsidRPr="00473C61">
        <w:rPr>
          <w:rFonts w:ascii="Times New Roman" w:hAnsi="Times New Roman" w:cs="Times New Roman"/>
          <w:sz w:val="24"/>
          <w:szCs w:val="24"/>
        </w:rPr>
        <w:t>.,</w:t>
      </w:r>
      <w:r w:rsidRPr="00473C61">
        <w:rPr>
          <w:rFonts w:ascii="Times New Roman" w:hAnsi="Times New Roman" w:cs="Times New Roman"/>
          <w:sz w:val="24"/>
          <w:szCs w:val="24"/>
        </w:rPr>
        <w:t xml:space="preserve"> Jackson, J.D</w:t>
      </w:r>
      <w:r w:rsidR="00B74689" w:rsidRPr="00473C61">
        <w:rPr>
          <w:rFonts w:ascii="Times New Roman" w:hAnsi="Times New Roman" w:cs="Times New Roman"/>
          <w:sz w:val="24"/>
          <w:szCs w:val="24"/>
        </w:rPr>
        <w:t>.</w:t>
      </w:r>
      <w:r w:rsidR="00183981" w:rsidRPr="00473C61">
        <w:rPr>
          <w:rFonts w:ascii="Times New Roman" w:hAnsi="Times New Roman" w:cs="Times New Roman"/>
          <w:sz w:val="24"/>
          <w:szCs w:val="24"/>
        </w:rPr>
        <w:t>,</w:t>
      </w:r>
      <w:r w:rsidR="00B74689" w:rsidRPr="00473C61">
        <w:rPr>
          <w:rFonts w:ascii="Times New Roman" w:hAnsi="Times New Roman" w:cs="Times New Roman"/>
          <w:sz w:val="24"/>
          <w:szCs w:val="24"/>
        </w:rPr>
        <w:t xml:space="preserve"> </w:t>
      </w:r>
      <w:r w:rsidRPr="00473C61">
        <w:rPr>
          <w:rFonts w:ascii="Times New Roman" w:hAnsi="Times New Roman" w:cs="Times New Roman"/>
          <w:sz w:val="24"/>
          <w:szCs w:val="24"/>
        </w:rPr>
        <w:t>1984</w:t>
      </w:r>
      <w:r w:rsidR="00B74689" w:rsidRPr="00473C61">
        <w:rPr>
          <w:rFonts w:ascii="Times New Roman" w:hAnsi="Times New Roman" w:cs="Times New Roman"/>
          <w:sz w:val="24"/>
          <w:szCs w:val="24"/>
        </w:rPr>
        <w:t>.</w:t>
      </w:r>
      <w:r w:rsidRPr="00473C61">
        <w:rPr>
          <w:rFonts w:ascii="Times New Roman" w:hAnsi="Times New Roman" w:cs="Times New Roman"/>
          <w:sz w:val="24"/>
          <w:szCs w:val="24"/>
        </w:rPr>
        <w:t xml:space="preserve"> Racial </w:t>
      </w:r>
      <w:r w:rsidR="005B46A9" w:rsidRPr="00473C61">
        <w:rPr>
          <w:rFonts w:ascii="Times New Roman" w:hAnsi="Times New Roman" w:cs="Times New Roman"/>
          <w:sz w:val="24"/>
          <w:szCs w:val="24"/>
        </w:rPr>
        <w:t>discrimination in the provision of financial services</w:t>
      </w:r>
      <w:r w:rsidR="00183981" w:rsidRPr="00473C61">
        <w:rPr>
          <w:rFonts w:ascii="Times New Roman" w:hAnsi="Times New Roman" w:cs="Times New Roman"/>
          <w:sz w:val="24"/>
          <w:szCs w:val="24"/>
        </w:rPr>
        <w:t>.</w:t>
      </w:r>
      <w:r w:rsidR="00B74689" w:rsidRPr="00473C61">
        <w:rPr>
          <w:rFonts w:ascii="Times New Roman" w:hAnsi="Times New Roman" w:cs="Times New Roman"/>
          <w:sz w:val="24"/>
          <w:szCs w:val="24"/>
        </w:rPr>
        <w:t xml:space="preserve"> </w:t>
      </w:r>
      <w:r w:rsidR="00A410B2" w:rsidRPr="00473C61">
        <w:rPr>
          <w:rFonts w:ascii="Times New Roman" w:hAnsi="Times New Roman" w:cs="Times New Roman"/>
          <w:sz w:val="24"/>
          <w:szCs w:val="24"/>
        </w:rPr>
        <w:t>American Economic Review</w:t>
      </w:r>
      <w:r w:rsidR="005B46A9" w:rsidRPr="00473C61">
        <w:rPr>
          <w:rFonts w:ascii="Times New Roman" w:hAnsi="Times New Roman" w:cs="Times New Roman"/>
          <w:sz w:val="24"/>
          <w:szCs w:val="24"/>
        </w:rPr>
        <w:t xml:space="preserve"> </w:t>
      </w:r>
      <w:r w:rsidRPr="00473C61">
        <w:rPr>
          <w:rFonts w:ascii="Times New Roman" w:hAnsi="Times New Roman" w:cs="Times New Roman"/>
          <w:sz w:val="24"/>
          <w:szCs w:val="24"/>
        </w:rPr>
        <w:t>74, 735-741</w:t>
      </w:r>
      <w:r w:rsidR="005B46A9" w:rsidRPr="00473C61">
        <w:rPr>
          <w:rFonts w:ascii="Times New Roman" w:hAnsi="Times New Roman" w:cs="Times New Roman"/>
          <w:sz w:val="24"/>
          <w:szCs w:val="24"/>
        </w:rPr>
        <w:t>.</w:t>
      </w:r>
    </w:p>
    <w:p w:rsidR="00480851" w:rsidRPr="00473C61" w:rsidRDefault="00480851" w:rsidP="00311CEB">
      <w:pPr>
        <w:spacing w:before="240" w:after="0" w:line="240" w:lineRule="auto"/>
        <w:jc w:val="both"/>
        <w:rPr>
          <w:rFonts w:ascii="Times New Roman" w:hAnsi="Times New Roman"/>
          <w:sz w:val="24"/>
          <w:szCs w:val="24"/>
        </w:rPr>
      </w:pPr>
      <w:r w:rsidRPr="00473C61">
        <w:rPr>
          <w:rFonts w:ascii="Times New Roman" w:hAnsi="Times New Roman"/>
          <w:sz w:val="24"/>
          <w:szCs w:val="24"/>
        </w:rPr>
        <w:t>Longhofer, S.D., Peters, S.R., 2005. Self-selection and discrimination in credit markets. Real Estate Economics 33, 237-268.</w:t>
      </w:r>
    </w:p>
    <w:p w:rsidR="004E1B96" w:rsidRPr="00473C61" w:rsidRDefault="00851247" w:rsidP="00311CEB">
      <w:pPr>
        <w:pStyle w:val="PreformattatoHTML"/>
        <w:spacing w:before="240"/>
        <w:jc w:val="both"/>
        <w:rPr>
          <w:rFonts w:ascii="Times New Roman" w:hAnsi="Times New Roman" w:cs="Times New Roman"/>
          <w:sz w:val="24"/>
          <w:szCs w:val="24"/>
        </w:rPr>
      </w:pPr>
      <w:r w:rsidRPr="00473C61">
        <w:rPr>
          <w:rFonts w:ascii="Times New Roman" w:hAnsi="Times New Roman" w:cs="Times New Roman"/>
          <w:sz w:val="24"/>
          <w:szCs w:val="24"/>
        </w:rPr>
        <w:t>Martin, R</w:t>
      </w:r>
      <w:r w:rsidR="00C22163" w:rsidRPr="00473C61">
        <w:rPr>
          <w:rFonts w:ascii="Times New Roman" w:hAnsi="Times New Roman" w:cs="Times New Roman"/>
          <w:sz w:val="24"/>
          <w:szCs w:val="24"/>
        </w:rPr>
        <w:t>.</w:t>
      </w:r>
      <w:r w:rsidRPr="00473C61">
        <w:rPr>
          <w:rFonts w:ascii="Times New Roman" w:hAnsi="Times New Roman" w:cs="Times New Roman"/>
          <w:sz w:val="24"/>
          <w:szCs w:val="24"/>
        </w:rPr>
        <w:t>E.</w:t>
      </w:r>
      <w:r w:rsidR="00183981" w:rsidRPr="00473C61">
        <w:rPr>
          <w:rFonts w:ascii="Times New Roman" w:hAnsi="Times New Roman" w:cs="Times New Roman"/>
          <w:sz w:val="24"/>
          <w:szCs w:val="24"/>
        </w:rPr>
        <w:t>,</w:t>
      </w:r>
      <w:r w:rsidR="005B46A9" w:rsidRPr="00473C61">
        <w:rPr>
          <w:rFonts w:ascii="Times New Roman" w:hAnsi="Times New Roman" w:cs="Times New Roman"/>
          <w:sz w:val="24"/>
          <w:szCs w:val="24"/>
        </w:rPr>
        <w:t xml:space="preserve"> </w:t>
      </w:r>
      <w:r w:rsidRPr="00473C61">
        <w:rPr>
          <w:rFonts w:ascii="Times New Roman" w:hAnsi="Times New Roman" w:cs="Times New Roman"/>
          <w:sz w:val="24"/>
          <w:szCs w:val="24"/>
        </w:rPr>
        <w:t>Hill</w:t>
      </w:r>
      <w:r w:rsidR="00C22163" w:rsidRPr="00473C61">
        <w:rPr>
          <w:rFonts w:ascii="Times New Roman" w:hAnsi="Times New Roman" w:cs="Times New Roman"/>
          <w:sz w:val="24"/>
          <w:szCs w:val="24"/>
        </w:rPr>
        <w:t>, R.C.</w:t>
      </w:r>
      <w:r w:rsidR="00183981" w:rsidRPr="00473C61">
        <w:rPr>
          <w:rFonts w:ascii="Times New Roman" w:hAnsi="Times New Roman" w:cs="Times New Roman"/>
          <w:sz w:val="24"/>
          <w:szCs w:val="24"/>
        </w:rPr>
        <w:t>,</w:t>
      </w:r>
      <w:r w:rsidRPr="00473C61">
        <w:rPr>
          <w:rFonts w:ascii="Times New Roman" w:hAnsi="Times New Roman" w:cs="Times New Roman"/>
          <w:sz w:val="24"/>
          <w:szCs w:val="24"/>
        </w:rPr>
        <w:t xml:space="preserve"> 2000</w:t>
      </w:r>
      <w:r w:rsidR="00C22163" w:rsidRPr="00473C61">
        <w:rPr>
          <w:rFonts w:ascii="Times New Roman" w:hAnsi="Times New Roman" w:cs="Times New Roman"/>
          <w:sz w:val="24"/>
          <w:szCs w:val="24"/>
        </w:rPr>
        <w:t xml:space="preserve">. </w:t>
      </w:r>
      <w:r w:rsidRPr="00473C61">
        <w:rPr>
          <w:rFonts w:ascii="Times New Roman" w:hAnsi="Times New Roman" w:cs="Times New Roman"/>
          <w:sz w:val="24"/>
          <w:szCs w:val="24"/>
        </w:rPr>
        <w:t xml:space="preserve">Loan </w:t>
      </w:r>
      <w:r w:rsidR="005B46A9" w:rsidRPr="00473C61">
        <w:rPr>
          <w:rFonts w:ascii="Times New Roman" w:hAnsi="Times New Roman" w:cs="Times New Roman"/>
          <w:sz w:val="24"/>
          <w:szCs w:val="24"/>
        </w:rPr>
        <w:t>performance and race</w:t>
      </w:r>
      <w:r w:rsidR="00183981" w:rsidRPr="00473C61">
        <w:rPr>
          <w:rFonts w:ascii="Times New Roman" w:hAnsi="Times New Roman" w:cs="Times New Roman"/>
          <w:sz w:val="24"/>
          <w:szCs w:val="24"/>
        </w:rPr>
        <w:t>.</w:t>
      </w:r>
      <w:r w:rsidRPr="00473C61">
        <w:rPr>
          <w:rFonts w:ascii="Times New Roman" w:hAnsi="Times New Roman" w:cs="Times New Roman"/>
          <w:sz w:val="24"/>
          <w:szCs w:val="24"/>
        </w:rPr>
        <w:t xml:space="preserve"> </w:t>
      </w:r>
      <w:r w:rsidR="00A410B2" w:rsidRPr="00473C61">
        <w:rPr>
          <w:rFonts w:ascii="Times New Roman" w:hAnsi="Times New Roman" w:cs="Times New Roman"/>
          <w:sz w:val="24"/>
          <w:szCs w:val="24"/>
        </w:rPr>
        <w:t>Economic Inquiry</w:t>
      </w:r>
      <w:r w:rsidR="005B46A9" w:rsidRPr="00473C61">
        <w:rPr>
          <w:rFonts w:ascii="Times New Roman" w:hAnsi="Times New Roman" w:cs="Times New Roman"/>
          <w:sz w:val="24"/>
          <w:szCs w:val="24"/>
        </w:rPr>
        <w:t xml:space="preserve"> </w:t>
      </w:r>
      <w:r w:rsidR="00C22163" w:rsidRPr="00473C61">
        <w:rPr>
          <w:rFonts w:ascii="Times New Roman" w:hAnsi="Times New Roman" w:cs="Times New Roman"/>
          <w:sz w:val="24"/>
          <w:szCs w:val="24"/>
        </w:rPr>
        <w:t xml:space="preserve">38, </w:t>
      </w:r>
      <w:r w:rsidRPr="00473C61">
        <w:rPr>
          <w:rFonts w:ascii="Times New Roman" w:hAnsi="Times New Roman" w:cs="Times New Roman"/>
          <w:sz w:val="24"/>
          <w:szCs w:val="24"/>
        </w:rPr>
        <w:t>136-</w:t>
      </w:r>
      <w:r w:rsidR="00183981" w:rsidRPr="00473C61">
        <w:rPr>
          <w:rFonts w:ascii="Times New Roman" w:hAnsi="Times New Roman" w:cs="Times New Roman"/>
          <w:sz w:val="24"/>
          <w:szCs w:val="24"/>
        </w:rPr>
        <w:t>1</w:t>
      </w:r>
      <w:r w:rsidRPr="00473C61">
        <w:rPr>
          <w:rFonts w:ascii="Times New Roman" w:hAnsi="Times New Roman" w:cs="Times New Roman"/>
          <w:sz w:val="24"/>
          <w:szCs w:val="24"/>
        </w:rPr>
        <w:t>50.</w:t>
      </w:r>
    </w:p>
    <w:p w:rsidR="004E1B96" w:rsidRPr="00473C61" w:rsidRDefault="00851247" w:rsidP="00311CEB">
      <w:pPr>
        <w:pStyle w:val="PreformattatoHTML"/>
        <w:spacing w:before="240"/>
        <w:jc w:val="both"/>
        <w:rPr>
          <w:rFonts w:ascii="Times New Roman" w:hAnsi="Times New Roman" w:cs="Times New Roman"/>
          <w:sz w:val="24"/>
          <w:szCs w:val="24"/>
        </w:rPr>
      </w:pPr>
      <w:r w:rsidRPr="00473C61">
        <w:rPr>
          <w:rFonts w:ascii="Times New Roman" w:hAnsi="Times New Roman" w:cs="Times New Roman"/>
          <w:sz w:val="24"/>
          <w:szCs w:val="24"/>
        </w:rPr>
        <w:lastRenderedPageBreak/>
        <w:t>Massey, D</w:t>
      </w:r>
      <w:r w:rsidR="00183981" w:rsidRPr="00473C61">
        <w:rPr>
          <w:rFonts w:ascii="Times New Roman" w:hAnsi="Times New Roman" w:cs="Times New Roman"/>
          <w:sz w:val="24"/>
          <w:szCs w:val="24"/>
        </w:rPr>
        <w:t>.,</w:t>
      </w:r>
      <w:r w:rsidR="007A7271" w:rsidRPr="00473C61">
        <w:rPr>
          <w:rFonts w:ascii="Times New Roman" w:hAnsi="Times New Roman" w:cs="Times New Roman"/>
          <w:sz w:val="24"/>
          <w:szCs w:val="24"/>
        </w:rPr>
        <w:t xml:space="preserve"> </w:t>
      </w:r>
      <w:r w:rsidRPr="00473C61">
        <w:rPr>
          <w:rFonts w:ascii="Times New Roman" w:hAnsi="Times New Roman" w:cs="Times New Roman"/>
          <w:sz w:val="24"/>
          <w:szCs w:val="24"/>
        </w:rPr>
        <w:t>Denton, N</w:t>
      </w:r>
      <w:r w:rsidR="00C22163" w:rsidRPr="00473C61">
        <w:rPr>
          <w:rFonts w:ascii="Times New Roman" w:hAnsi="Times New Roman" w:cs="Times New Roman"/>
          <w:sz w:val="24"/>
          <w:szCs w:val="24"/>
        </w:rPr>
        <w:t xml:space="preserve">., </w:t>
      </w:r>
      <w:r w:rsidRPr="00473C61">
        <w:rPr>
          <w:rFonts w:ascii="Times New Roman" w:hAnsi="Times New Roman" w:cs="Times New Roman"/>
          <w:sz w:val="24"/>
          <w:szCs w:val="24"/>
        </w:rPr>
        <w:t>1993</w:t>
      </w:r>
      <w:r w:rsidR="00C22163" w:rsidRPr="00473C61">
        <w:rPr>
          <w:rFonts w:ascii="Times New Roman" w:hAnsi="Times New Roman" w:cs="Times New Roman"/>
          <w:sz w:val="24"/>
          <w:szCs w:val="24"/>
        </w:rPr>
        <w:t>.</w:t>
      </w:r>
      <w:r w:rsidRPr="00473C61">
        <w:rPr>
          <w:rFonts w:ascii="Times New Roman" w:hAnsi="Times New Roman" w:cs="Times New Roman"/>
          <w:sz w:val="24"/>
          <w:szCs w:val="24"/>
        </w:rPr>
        <w:t xml:space="preserve"> </w:t>
      </w:r>
      <w:r w:rsidR="00A410B2" w:rsidRPr="00473C61">
        <w:rPr>
          <w:rFonts w:ascii="Times New Roman" w:hAnsi="Times New Roman" w:cs="Times New Roman"/>
          <w:sz w:val="24"/>
          <w:szCs w:val="24"/>
        </w:rPr>
        <w:t>American Apartheid: Segregation and the Making of the Underclass.</w:t>
      </w:r>
      <w:r w:rsidRPr="00473C61">
        <w:rPr>
          <w:rFonts w:ascii="Times New Roman" w:hAnsi="Times New Roman" w:cs="Times New Roman"/>
          <w:sz w:val="24"/>
          <w:szCs w:val="24"/>
        </w:rPr>
        <w:t xml:space="preserve"> Cambridge: Harvard University Press</w:t>
      </w:r>
      <w:r w:rsidR="007A7271" w:rsidRPr="00473C61">
        <w:rPr>
          <w:rFonts w:ascii="Times New Roman" w:hAnsi="Times New Roman" w:cs="Times New Roman"/>
          <w:sz w:val="24"/>
          <w:szCs w:val="24"/>
        </w:rPr>
        <w:t>.</w:t>
      </w:r>
    </w:p>
    <w:p w:rsidR="004E1B96" w:rsidRPr="00473C61" w:rsidRDefault="00851247" w:rsidP="00311CEB">
      <w:pPr>
        <w:pStyle w:val="PreformattatoHTML"/>
        <w:spacing w:before="240"/>
        <w:jc w:val="both"/>
        <w:rPr>
          <w:rFonts w:ascii="Times New Roman" w:hAnsi="Times New Roman" w:cs="Times New Roman"/>
          <w:sz w:val="24"/>
          <w:szCs w:val="24"/>
        </w:rPr>
      </w:pPr>
      <w:r w:rsidRPr="00473C61">
        <w:rPr>
          <w:rFonts w:ascii="Times New Roman" w:hAnsi="Times New Roman" w:cs="Times New Roman"/>
          <w:sz w:val="24"/>
          <w:szCs w:val="24"/>
        </w:rPr>
        <w:t>Munnell</w:t>
      </w:r>
      <w:r w:rsidR="007C0540" w:rsidRPr="00473C61">
        <w:rPr>
          <w:rFonts w:ascii="Times New Roman" w:hAnsi="Times New Roman" w:cs="Times New Roman"/>
          <w:sz w:val="24"/>
          <w:szCs w:val="24"/>
        </w:rPr>
        <w:t>,</w:t>
      </w:r>
      <w:r w:rsidRPr="00473C61">
        <w:rPr>
          <w:rFonts w:ascii="Times New Roman" w:hAnsi="Times New Roman" w:cs="Times New Roman"/>
          <w:sz w:val="24"/>
          <w:szCs w:val="24"/>
        </w:rPr>
        <w:t xml:space="preserve"> A</w:t>
      </w:r>
      <w:r w:rsidR="00C22163" w:rsidRPr="00473C61">
        <w:rPr>
          <w:rFonts w:ascii="Times New Roman" w:hAnsi="Times New Roman" w:cs="Times New Roman"/>
          <w:sz w:val="24"/>
          <w:szCs w:val="24"/>
        </w:rPr>
        <w:t>.</w:t>
      </w:r>
      <w:r w:rsidRPr="00473C61">
        <w:rPr>
          <w:rFonts w:ascii="Times New Roman" w:hAnsi="Times New Roman" w:cs="Times New Roman"/>
          <w:sz w:val="24"/>
          <w:szCs w:val="24"/>
        </w:rPr>
        <w:t>H</w:t>
      </w:r>
      <w:r w:rsidR="00C22163" w:rsidRPr="00473C61">
        <w:rPr>
          <w:rFonts w:ascii="Times New Roman" w:hAnsi="Times New Roman" w:cs="Times New Roman"/>
          <w:sz w:val="24"/>
          <w:szCs w:val="24"/>
        </w:rPr>
        <w:t>.</w:t>
      </w:r>
      <w:r w:rsidRPr="00473C61">
        <w:rPr>
          <w:rFonts w:ascii="Times New Roman" w:hAnsi="Times New Roman" w:cs="Times New Roman"/>
          <w:sz w:val="24"/>
          <w:szCs w:val="24"/>
        </w:rPr>
        <w:t>, Browne</w:t>
      </w:r>
      <w:r w:rsidR="002149B8" w:rsidRPr="00473C61">
        <w:rPr>
          <w:rFonts w:ascii="Times New Roman" w:hAnsi="Times New Roman" w:cs="Times New Roman"/>
          <w:sz w:val="24"/>
          <w:szCs w:val="24"/>
        </w:rPr>
        <w:t>,</w:t>
      </w:r>
      <w:r w:rsidRPr="00473C61">
        <w:rPr>
          <w:rFonts w:ascii="Times New Roman" w:hAnsi="Times New Roman" w:cs="Times New Roman"/>
          <w:sz w:val="24"/>
          <w:szCs w:val="24"/>
        </w:rPr>
        <w:t xml:space="preserve"> L</w:t>
      </w:r>
      <w:r w:rsidR="00C22163" w:rsidRPr="00473C61">
        <w:rPr>
          <w:rFonts w:ascii="Times New Roman" w:hAnsi="Times New Roman" w:cs="Times New Roman"/>
          <w:sz w:val="24"/>
          <w:szCs w:val="24"/>
        </w:rPr>
        <w:t>.</w:t>
      </w:r>
      <w:r w:rsidRPr="00473C61">
        <w:rPr>
          <w:rFonts w:ascii="Times New Roman" w:hAnsi="Times New Roman" w:cs="Times New Roman"/>
          <w:sz w:val="24"/>
          <w:szCs w:val="24"/>
        </w:rPr>
        <w:t>E</w:t>
      </w:r>
      <w:r w:rsidR="00C22163" w:rsidRPr="00473C61">
        <w:rPr>
          <w:rFonts w:ascii="Times New Roman" w:hAnsi="Times New Roman" w:cs="Times New Roman"/>
          <w:sz w:val="24"/>
          <w:szCs w:val="24"/>
        </w:rPr>
        <w:t>.</w:t>
      </w:r>
      <w:r w:rsidRPr="00473C61">
        <w:rPr>
          <w:rFonts w:ascii="Times New Roman" w:hAnsi="Times New Roman" w:cs="Times New Roman"/>
          <w:sz w:val="24"/>
          <w:szCs w:val="24"/>
        </w:rPr>
        <w:t>, McEneaney</w:t>
      </w:r>
      <w:r w:rsidR="002149B8" w:rsidRPr="00473C61">
        <w:rPr>
          <w:rFonts w:ascii="Times New Roman" w:hAnsi="Times New Roman" w:cs="Times New Roman"/>
          <w:sz w:val="24"/>
          <w:szCs w:val="24"/>
        </w:rPr>
        <w:t>,</w:t>
      </w:r>
      <w:r w:rsidRPr="00473C61">
        <w:rPr>
          <w:rFonts w:ascii="Times New Roman" w:hAnsi="Times New Roman" w:cs="Times New Roman"/>
          <w:sz w:val="24"/>
          <w:szCs w:val="24"/>
        </w:rPr>
        <w:t xml:space="preserve"> J.</w:t>
      </w:r>
      <w:r w:rsidR="00037F19" w:rsidRPr="00473C61">
        <w:rPr>
          <w:rFonts w:ascii="Times New Roman" w:hAnsi="Times New Roman" w:cs="Times New Roman"/>
          <w:sz w:val="24"/>
          <w:szCs w:val="24"/>
        </w:rPr>
        <w:t>,</w:t>
      </w:r>
      <w:r w:rsidR="007A7271" w:rsidRPr="00473C61">
        <w:rPr>
          <w:rFonts w:ascii="Times New Roman" w:hAnsi="Times New Roman" w:cs="Times New Roman"/>
          <w:sz w:val="24"/>
          <w:szCs w:val="24"/>
        </w:rPr>
        <w:t xml:space="preserve"> </w:t>
      </w:r>
      <w:r w:rsidRPr="00473C61">
        <w:rPr>
          <w:rFonts w:ascii="Times New Roman" w:hAnsi="Times New Roman" w:cs="Times New Roman"/>
          <w:sz w:val="24"/>
          <w:szCs w:val="24"/>
        </w:rPr>
        <w:t>Tootell</w:t>
      </w:r>
      <w:r w:rsidR="002149B8" w:rsidRPr="00473C61">
        <w:rPr>
          <w:rFonts w:ascii="Times New Roman" w:hAnsi="Times New Roman" w:cs="Times New Roman"/>
          <w:sz w:val="24"/>
          <w:szCs w:val="24"/>
        </w:rPr>
        <w:t>,</w:t>
      </w:r>
      <w:r w:rsidRPr="00473C61">
        <w:rPr>
          <w:rFonts w:ascii="Times New Roman" w:hAnsi="Times New Roman" w:cs="Times New Roman"/>
          <w:sz w:val="24"/>
          <w:szCs w:val="24"/>
        </w:rPr>
        <w:t xml:space="preserve"> G</w:t>
      </w:r>
      <w:r w:rsidR="00C22163" w:rsidRPr="00473C61">
        <w:rPr>
          <w:rFonts w:ascii="Times New Roman" w:hAnsi="Times New Roman" w:cs="Times New Roman"/>
          <w:sz w:val="24"/>
          <w:szCs w:val="24"/>
        </w:rPr>
        <w:t>.</w:t>
      </w:r>
      <w:r w:rsidRPr="00473C61">
        <w:rPr>
          <w:rFonts w:ascii="Times New Roman" w:hAnsi="Times New Roman" w:cs="Times New Roman"/>
          <w:sz w:val="24"/>
          <w:szCs w:val="24"/>
        </w:rPr>
        <w:t>M</w:t>
      </w:r>
      <w:r w:rsidR="00C22163" w:rsidRPr="00473C61">
        <w:rPr>
          <w:rFonts w:ascii="Times New Roman" w:hAnsi="Times New Roman" w:cs="Times New Roman"/>
          <w:sz w:val="24"/>
          <w:szCs w:val="24"/>
        </w:rPr>
        <w:t>.</w:t>
      </w:r>
      <w:r w:rsidRPr="00473C61">
        <w:rPr>
          <w:rFonts w:ascii="Times New Roman" w:hAnsi="Times New Roman" w:cs="Times New Roman"/>
          <w:sz w:val="24"/>
          <w:szCs w:val="24"/>
        </w:rPr>
        <w:t>B</w:t>
      </w:r>
      <w:r w:rsidR="00C22163" w:rsidRPr="00473C61">
        <w:rPr>
          <w:rFonts w:ascii="Times New Roman" w:hAnsi="Times New Roman" w:cs="Times New Roman"/>
          <w:sz w:val="24"/>
          <w:szCs w:val="24"/>
        </w:rPr>
        <w:t>.</w:t>
      </w:r>
      <w:r w:rsidR="00037F19" w:rsidRPr="00473C61">
        <w:rPr>
          <w:rFonts w:ascii="Times New Roman" w:hAnsi="Times New Roman" w:cs="Times New Roman"/>
          <w:sz w:val="24"/>
          <w:szCs w:val="24"/>
        </w:rPr>
        <w:t>,</w:t>
      </w:r>
      <w:r w:rsidRPr="00473C61">
        <w:rPr>
          <w:rFonts w:ascii="Times New Roman" w:hAnsi="Times New Roman" w:cs="Times New Roman"/>
          <w:sz w:val="24"/>
          <w:szCs w:val="24"/>
        </w:rPr>
        <w:t xml:space="preserve"> 1992. Mortgage lending in Boston: interpreting HMDA data</w:t>
      </w:r>
      <w:r w:rsidR="00037F19" w:rsidRPr="00473C61">
        <w:rPr>
          <w:rFonts w:ascii="Times New Roman" w:hAnsi="Times New Roman" w:cs="Times New Roman"/>
          <w:sz w:val="24"/>
          <w:szCs w:val="24"/>
        </w:rPr>
        <w:t>.</w:t>
      </w:r>
      <w:r w:rsidRPr="00473C61">
        <w:rPr>
          <w:rFonts w:ascii="Times New Roman" w:hAnsi="Times New Roman" w:cs="Times New Roman"/>
          <w:sz w:val="24"/>
          <w:szCs w:val="24"/>
        </w:rPr>
        <w:t xml:space="preserve"> </w:t>
      </w:r>
      <w:r w:rsidR="007A7271" w:rsidRPr="00473C61">
        <w:rPr>
          <w:rFonts w:ascii="Times New Roman" w:hAnsi="Times New Roman" w:cs="Times New Roman"/>
          <w:sz w:val="24"/>
          <w:szCs w:val="24"/>
        </w:rPr>
        <w:t xml:space="preserve">Working Paper, </w:t>
      </w:r>
      <w:r w:rsidRPr="00473C61">
        <w:rPr>
          <w:rFonts w:ascii="Times New Roman" w:hAnsi="Times New Roman" w:cs="Times New Roman"/>
          <w:sz w:val="24"/>
          <w:szCs w:val="24"/>
        </w:rPr>
        <w:t>Federal Reserve Bank of Boston</w:t>
      </w:r>
      <w:r w:rsidR="007A7271" w:rsidRPr="00473C61">
        <w:rPr>
          <w:rFonts w:ascii="Times New Roman" w:hAnsi="Times New Roman" w:cs="Times New Roman"/>
          <w:sz w:val="24"/>
          <w:szCs w:val="24"/>
        </w:rPr>
        <w:t>.</w:t>
      </w:r>
      <w:r w:rsidRPr="00473C61">
        <w:rPr>
          <w:rFonts w:ascii="Times New Roman" w:hAnsi="Times New Roman" w:cs="Times New Roman"/>
          <w:sz w:val="24"/>
          <w:szCs w:val="24"/>
        </w:rPr>
        <w:t xml:space="preserve"> </w:t>
      </w:r>
    </w:p>
    <w:p w:rsidR="004E1B96" w:rsidRPr="00473C61" w:rsidRDefault="00C22163" w:rsidP="00311CEB">
      <w:pPr>
        <w:pStyle w:val="PreformattatoHTML"/>
        <w:spacing w:before="240"/>
        <w:jc w:val="both"/>
        <w:rPr>
          <w:rFonts w:ascii="Times New Roman" w:hAnsi="Times New Roman" w:cs="Times New Roman"/>
          <w:sz w:val="24"/>
          <w:szCs w:val="24"/>
        </w:rPr>
      </w:pPr>
      <w:r w:rsidRPr="00473C61">
        <w:rPr>
          <w:rFonts w:ascii="Times New Roman" w:hAnsi="Times New Roman" w:cs="Times New Roman"/>
          <w:sz w:val="24"/>
          <w:szCs w:val="24"/>
        </w:rPr>
        <w:t>Munnell</w:t>
      </w:r>
      <w:r w:rsidR="007C0540" w:rsidRPr="00473C61">
        <w:rPr>
          <w:rFonts w:ascii="Times New Roman" w:hAnsi="Times New Roman" w:cs="Times New Roman"/>
          <w:sz w:val="24"/>
          <w:szCs w:val="24"/>
        </w:rPr>
        <w:t>,</w:t>
      </w:r>
      <w:r w:rsidRPr="00473C61">
        <w:rPr>
          <w:rFonts w:ascii="Times New Roman" w:hAnsi="Times New Roman" w:cs="Times New Roman"/>
          <w:sz w:val="24"/>
          <w:szCs w:val="24"/>
        </w:rPr>
        <w:t xml:space="preserve"> A.H., Tootell</w:t>
      </w:r>
      <w:r w:rsidR="002149B8" w:rsidRPr="00473C61">
        <w:rPr>
          <w:rFonts w:ascii="Times New Roman" w:hAnsi="Times New Roman" w:cs="Times New Roman"/>
          <w:sz w:val="24"/>
          <w:szCs w:val="24"/>
        </w:rPr>
        <w:t>,</w:t>
      </w:r>
      <w:r w:rsidRPr="00473C61">
        <w:rPr>
          <w:rFonts w:ascii="Times New Roman" w:hAnsi="Times New Roman" w:cs="Times New Roman"/>
          <w:sz w:val="24"/>
          <w:szCs w:val="24"/>
        </w:rPr>
        <w:t xml:space="preserve"> G.M.B., Browne</w:t>
      </w:r>
      <w:r w:rsidR="002149B8" w:rsidRPr="00473C61">
        <w:rPr>
          <w:rFonts w:ascii="Times New Roman" w:hAnsi="Times New Roman" w:cs="Times New Roman"/>
          <w:sz w:val="24"/>
          <w:szCs w:val="24"/>
        </w:rPr>
        <w:t>,</w:t>
      </w:r>
      <w:r w:rsidRPr="00473C61">
        <w:rPr>
          <w:rFonts w:ascii="Times New Roman" w:hAnsi="Times New Roman" w:cs="Times New Roman"/>
          <w:sz w:val="24"/>
          <w:szCs w:val="24"/>
        </w:rPr>
        <w:t xml:space="preserve"> L.E.</w:t>
      </w:r>
      <w:r w:rsidR="00037F19" w:rsidRPr="00473C61">
        <w:rPr>
          <w:rFonts w:ascii="Times New Roman" w:hAnsi="Times New Roman" w:cs="Times New Roman"/>
          <w:sz w:val="24"/>
          <w:szCs w:val="24"/>
        </w:rPr>
        <w:t>,</w:t>
      </w:r>
      <w:r w:rsidR="007A7271" w:rsidRPr="00473C61">
        <w:rPr>
          <w:rFonts w:ascii="Times New Roman" w:hAnsi="Times New Roman" w:cs="Times New Roman"/>
          <w:sz w:val="24"/>
          <w:szCs w:val="24"/>
        </w:rPr>
        <w:t xml:space="preserve"> </w:t>
      </w:r>
      <w:r w:rsidRPr="00473C61">
        <w:rPr>
          <w:rFonts w:ascii="Times New Roman" w:hAnsi="Times New Roman" w:cs="Times New Roman"/>
          <w:sz w:val="24"/>
          <w:szCs w:val="24"/>
        </w:rPr>
        <w:t>McEneaney</w:t>
      </w:r>
      <w:r w:rsidR="002149B8" w:rsidRPr="00473C61">
        <w:rPr>
          <w:rFonts w:ascii="Times New Roman" w:hAnsi="Times New Roman" w:cs="Times New Roman"/>
          <w:sz w:val="24"/>
          <w:szCs w:val="24"/>
        </w:rPr>
        <w:t>,</w:t>
      </w:r>
      <w:r w:rsidRPr="00473C61">
        <w:rPr>
          <w:rFonts w:ascii="Times New Roman" w:hAnsi="Times New Roman" w:cs="Times New Roman"/>
          <w:sz w:val="24"/>
          <w:szCs w:val="24"/>
        </w:rPr>
        <w:t xml:space="preserve"> J.</w:t>
      </w:r>
      <w:r w:rsidR="00037F19" w:rsidRPr="00473C61">
        <w:rPr>
          <w:rFonts w:ascii="Times New Roman" w:hAnsi="Times New Roman" w:cs="Times New Roman"/>
          <w:sz w:val="24"/>
          <w:szCs w:val="24"/>
        </w:rPr>
        <w:t>,</w:t>
      </w:r>
      <w:r w:rsidRPr="00473C61">
        <w:rPr>
          <w:rFonts w:ascii="Times New Roman" w:hAnsi="Times New Roman" w:cs="Times New Roman"/>
          <w:sz w:val="24"/>
          <w:szCs w:val="24"/>
        </w:rPr>
        <w:t xml:space="preserve"> </w:t>
      </w:r>
      <w:r w:rsidR="00851247" w:rsidRPr="00473C61">
        <w:rPr>
          <w:rFonts w:ascii="Times New Roman" w:hAnsi="Times New Roman" w:cs="Times New Roman"/>
          <w:sz w:val="24"/>
          <w:szCs w:val="24"/>
        </w:rPr>
        <w:t>1996. Mortgage lending in Boston: interpreting HMDA data</w:t>
      </w:r>
      <w:r w:rsidR="00037F19" w:rsidRPr="00473C61">
        <w:rPr>
          <w:rFonts w:ascii="Times New Roman" w:hAnsi="Times New Roman" w:cs="Times New Roman"/>
          <w:sz w:val="24"/>
          <w:szCs w:val="24"/>
        </w:rPr>
        <w:t xml:space="preserve">. </w:t>
      </w:r>
      <w:r w:rsidR="00A410B2" w:rsidRPr="00473C61">
        <w:rPr>
          <w:rFonts w:ascii="Times New Roman" w:hAnsi="Times New Roman" w:cs="Times New Roman"/>
          <w:sz w:val="24"/>
          <w:szCs w:val="24"/>
        </w:rPr>
        <w:t>American Economic Review</w:t>
      </w:r>
      <w:r w:rsidR="007A7271" w:rsidRPr="00473C61">
        <w:rPr>
          <w:rFonts w:ascii="Times New Roman" w:hAnsi="Times New Roman" w:cs="Times New Roman"/>
          <w:sz w:val="24"/>
          <w:szCs w:val="24"/>
        </w:rPr>
        <w:t xml:space="preserve"> </w:t>
      </w:r>
      <w:r w:rsidRPr="00473C61">
        <w:rPr>
          <w:rFonts w:ascii="Times New Roman" w:hAnsi="Times New Roman" w:cs="Times New Roman"/>
          <w:sz w:val="24"/>
          <w:szCs w:val="24"/>
        </w:rPr>
        <w:t xml:space="preserve">86, </w:t>
      </w:r>
      <w:r w:rsidR="00851247" w:rsidRPr="00473C61">
        <w:rPr>
          <w:rFonts w:ascii="Times New Roman" w:hAnsi="Times New Roman" w:cs="Times New Roman"/>
          <w:sz w:val="24"/>
          <w:szCs w:val="24"/>
        </w:rPr>
        <w:t>25</w:t>
      </w:r>
      <w:r w:rsidR="00037F19" w:rsidRPr="00473C61">
        <w:rPr>
          <w:rFonts w:ascii="Times New Roman" w:hAnsi="Times New Roman" w:cs="Times New Roman"/>
          <w:sz w:val="24"/>
          <w:szCs w:val="24"/>
        </w:rPr>
        <w:t>-</w:t>
      </w:r>
      <w:r w:rsidR="00851247" w:rsidRPr="00473C61">
        <w:rPr>
          <w:rFonts w:ascii="Times New Roman" w:hAnsi="Times New Roman" w:cs="Times New Roman"/>
          <w:sz w:val="24"/>
          <w:szCs w:val="24"/>
        </w:rPr>
        <w:t>53</w:t>
      </w:r>
    </w:p>
    <w:p w:rsidR="004E1B96" w:rsidRPr="00473C61" w:rsidRDefault="00851247" w:rsidP="00311CEB">
      <w:pPr>
        <w:pStyle w:val="PreformattatoHTML"/>
        <w:spacing w:before="240"/>
        <w:jc w:val="both"/>
        <w:rPr>
          <w:rFonts w:ascii="Times New Roman" w:hAnsi="Times New Roman" w:cs="Times New Roman"/>
          <w:sz w:val="24"/>
          <w:szCs w:val="24"/>
        </w:rPr>
      </w:pPr>
      <w:r w:rsidRPr="00473C61">
        <w:rPr>
          <w:rFonts w:ascii="Times New Roman" w:hAnsi="Times New Roman" w:cs="Times New Roman"/>
          <w:sz w:val="24"/>
          <w:szCs w:val="24"/>
        </w:rPr>
        <w:t>Oliver</w:t>
      </w:r>
      <w:r w:rsidR="002149B8" w:rsidRPr="00473C61">
        <w:rPr>
          <w:rFonts w:ascii="Times New Roman" w:hAnsi="Times New Roman" w:cs="Times New Roman"/>
          <w:sz w:val="24"/>
          <w:szCs w:val="24"/>
        </w:rPr>
        <w:t>,</w:t>
      </w:r>
      <w:r w:rsidRPr="00473C61">
        <w:rPr>
          <w:rFonts w:ascii="Times New Roman" w:hAnsi="Times New Roman" w:cs="Times New Roman"/>
          <w:sz w:val="24"/>
          <w:szCs w:val="24"/>
        </w:rPr>
        <w:t xml:space="preserve"> M</w:t>
      </w:r>
      <w:r w:rsidR="002149B8" w:rsidRPr="00473C61">
        <w:rPr>
          <w:rFonts w:ascii="Times New Roman" w:hAnsi="Times New Roman" w:cs="Times New Roman"/>
          <w:sz w:val="24"/>
          <w:szCs w:val="24"/>
        </w:rPr>
        <w:t>.</w:t>
      </w:r>
      <w:r w:rsidR="00037F19" w:rsidRPr="00473C61">
        <w:rPr>
          <w:rFonts w:ascii="Times New Roman" w:hAnsi="Times New Roman" w:cs="Times New Roman"/>
          <w:sz w:val="24"/>
          <w:szCs w:val="24"/>
        </w:rPr>
        <w:t xml:space="preserve">, </w:t>
      </w:r>
      <w:r w:rsidRPr="00473C61">
        <w:rPr>
          <w:rFonts w:ascii="Times New Roman" w:hAnsi="Times New Roman" w:cs="Times New Roman"/>
          <w:sz w:val="24"/>
          <w:szCs w:val="24"/>
        </w:rPr>
        <w:t>Shapiro</w:t>
      </w:r>
      <w:r w:rsidR="002149B8" w:rsidRPr="00473C61">
        <w:rPr>
          <w:rFonts w:ascii="Times New Roman" w:hAnsi="Times New Roman" w:cs="Times New Roman"/>
          <w:sz w:val="24"/>
          <w:szCs w:val="24"/>
        </w:rPr>
        <w:t>,</w:t>
      </w:r>
      <w:r w:rsidRPr="00473C61">
        <w:rPr>
          <w:rFonts w:ascii="Times New Roman" w:hAnsi="Times New Roman" w:cs="Times New Roman"/>
          <w:sz w:val="24"/>
          <w:szCs w:val="24"/>
        </w:rPr>
        <w:t xml:space="preserve"> T.</w:t>
      </w:r>
      <w:r w:rsidR="00037F19" w:rsidRPr="00473C61">
        <w:rPr>
          <w:rFonts w:ascii="Times New Roman" w:hAnsi="Times New Roman" w:cs="Times New Roman"/>
          <w:sz w:val="24"/>
          <w:szCs w:val="24"/>
        </w:rPr>
        <w:t>,</w:t>
      </w:r>
      <w:r w:rsidR="007A7271" w:rsidRPr="00473C61">
        <w:rPr>
          <w:rFonts w:ascii="Times New Roman" w:hAnsi="Times New Roman" w:cs="Times New Roman"/>
          <w:sz w:val="24"/>
          <w:szCs w:val="24"/>
        </w:rPr>
        <w:t xml:space="preserve"> </w:t>
      </w:r>
      <w:r w:rsidRPr="00473C61">
        <w:rPr>
          <w:rFonts w:ascii="Times New Roman" w:hAnsi="Times New Roman" w:cs="Times New Roman"/>
          <w:sz w:val="24"/>
          <w:szCs w:val="24"/>
        </w:rPr>
        <w:t xml:space="preserve">1997. </w:t>
      </w:r>
      <w:r w:rsidR="00A410B2" w:rsidRPr="00473C61">
        <w:rPr>
          <w:rFonts w:ascii="Times New Roman" w:hAnsi="Times New Roman" w:cs="Times New Roman"/>
          <w:sz w:val="24"/>
          <w:szCs w:val="24"/>
        </w:rPr>
        <w:t>Black</w:t>
      </w:r>
      <w:r w:rsidR="007A7271" w:rsidRPr="00473C61">
        <w:rPr>
          <w:rFonts w:ascii="Times New Roman" w:hAnsi="Times New Roman" w:cs="Times New Roman"/>
          <w:sz w:val="24"/>
          <w:szCs w:val="24"/>
        </w:rPr>
        <w:t xml:space="preserve"> </w:t>
      </w:r>
      <w:r w:rsidR="00A410B2" w:rsidRPr="00473C61">
        <w:rPr>
          <w:rFonts w:ascii="Times New Roman" w:hAnsi="Times New Roman" w:cs="Times New Roman"/>
          <w:sz w:val="24"/>
          <w:szCs w:val="24"/>
        </w:rPr>
        <w:t>wealth, white</w:t>
      </w:r>
      <w:r w:rsidR="007A7271" w:rsidRPr="00473C61">
        <w:rPr>
          <w:rFonts w:ascii="Times New Roman" w:hAnsi="Times New Roman" w:cs="Times New Roman"/>
          <w:sz w:val="24"/>
          <w:szCs w:val="24"/>
        </w:rPr>
        <w:t xml:space="preserve"> </w:t>
      </w:r>
      <w:r w:rsidR="00A410B2" w:rsidRPr="00473C61">
        <w:rPr>
          <w:rFonts w:ascii="Times New Roman" w:hAnsi="Times New Roman" w:cs="Times New Roman"/>
          <w:sz w:val="24"/>
          <w:szCs w:val="24"/>
        </w:rPr>
        <w:t>wealth: a new perspective on racial inequality</w:t>
      </w:r>
      <w:r w:rsidR="00037F19" w:rsidRPr="00473C61">
        <w:rPr>
          <w:rFonts w:ascii="Times New Roman" w:hAnsi="Times New Roman" w:cs="Times New Roman"/>
          <w:sz w:val="24"/>
          <w:szCs w:val="24"/>
        </w:rPr>
        <w:t>.</w:t>
      </w:r>
      <w:r w:rsidRPr="00473C61">
        <w:rPr>
          <w:rFonts w:ascii="Times New Roman" w:hAnsi="Times New Roman" w:cs="Times New Roman"/>
          <w:sz w:val="24"/>
          <w:szCs w:val="24"/>
        </w:rPr>
        <w:t xml:space="preserve"> New York: Routledge</w:t>
      </w:r>
      <w:r w:rsidR="007A7271" w:rsidRPr="00473C61">
        <w:rPr>
          <w:rFonts w:ascii="Times New Roman" w:hAnsi="Times New Roman" w:cs="Times New Roman"/>
          <w:sz w:val="24"/>
          <w:szCs w:val="24"/>
        </w:rPr>
        <w:t>.</w:t>
      </w:r>
    </w:p>
    <w:p w:rsidR="004E1B96" w:rsidRPr="00473C61" w:rsidRDefault="00851247" w:rsidP="00311CEB">
      <w:pPr>
        <w:pStyle w:val="PreformattatoHTML"/>
        <w:spacing w:before="240"/>
        <w:jc w:val="both"/>
        <w:rPr>
          <w:rFonts w:ascii="Times New Roman" w:hAnsi="Times New Roman" w:cs="Times New Roman"/>
          <w:sz w:val="24"/>
          <w:szCs w:val="24"/>
        </w:rPr>
      </w:pPr>
      <w:r w:rsidRPr="00473C61">
        <w:rPr>
          <w:rFonts w:ascii="Times New Roman" w:hAnsi="Times New Roman" w:cs="Times New Roman"/>
          <w:sz w:val="24"/>
          <w:szCs w:val="24"/>
        </w:rPr>
        <w:t>Pager, D</w:t>
      </w:r>
      <w:r w:rsidR="002149B8" w:rsidRPr="00473C61">
        <w:rPr>
          <w:rFonts w:ascii="Times New Roman" w:hAnsi="Times New Roman" w:cs="Times New Roman"/>
          <w:sz w:val="24"/>
          <w:szCs w:val="24"/>
        </w:rPr>
        <w:t>.</w:t>
      </w:r>
      <w:r w:rsidR="00037F19" w:rsidRPr="00473C61">
        <w:rPr>
          <w:rFonts w:ascii="Times New Roman" w:hAnsi="Times New Roman" w:cs="Times New Roman"/>
          <w:sz w:val="24"/>
          <w:szCs w:val="24"/>
        </w:rPr>
        <w:t>,</w:t>
      </w:r>
      <w:r w:rsidR="007A7271" w:rsidRPr="00473C61">
        <w:rPr>
          <w:rFonts w:ascii="Times New Roman" w:hAnsi="Times New Roman" w:cs="Times New Roman"/>
          <w:sz w:val="24"/>
          <w:szCs w:val="24"/>
        </w:rPr>
        <w:t xml:space="preserve"> </w:t>
      </w:r>
      <w:r w:rsidRPr="00473C61">
        <w:rPr>
          <w:rFonts w:ascii="Times New Roman" w:hAnsi="Times New Roman" w:cs="Times New Roman"/>
          <w:sz w:val="24"/>
          <w:szCs w:val="24"/>
        </w:rPr>
        <w:t>Shepherd</w:t>
      </w:r>
      <w:r w:rsidR="00037F19" w:rsidRPr="00473C61">
        <w:rPr>
          <w:rFonts w:ascii="Times New Roman" w:hAnsi="Times New Roman" w:cs="Times New Roman"/>
          <w:sz w:val="24"/>
          <w:szCs w:val="24"/>
        </w:rPr>
        <w:t>,</w:t>
      </w:r>
      <w:r w:rsidR="002149B8" w:rsidRPr="00473C61">
        <w:rPr>
          <w:rFonts w:ascii="Times New Roman" w:hAnsi="Times New Roman" w:cs="Times New Roman"/>
          <w:sz w:val="24"/>
          <w:szCs w:val="24"/>
        </w:rPr>
        <w:t xml:space="preserve"> H.</w:t>
      </w:r>
      <w:r w:rsidR="00037F19" w:rsidRPr="00473C61">
        <w:rPr>
          <w:rFonts w:ascii="Times New Roman" w:hAnsi="Times New Roman" w:cs="Times New Roman"/>
          <w:sz w:val="24"/>
          <w:szCs w:val="24"/>
        </w:rPr>
        <w:t>,</w:t>
      </w:r>
      <w:r w:rsidR="002149B8" w:rsidRPr="00473C61">
        <w:rPr>
          <w:rFonts w:ascii="Times New Roman" w:hAnsi="Times New Roman" w:cs="Times New Roman"/>
          <w:sz w:val="24"/>
          <w:szCs w:val="24"/>
        </w:rPr>
        <w:t xml:space="preserve"> </w:t>
      </w:r>
      <w:r w:rsidRPr="00473C61">
        <w:rPr>
          <w:rFonts w:ascii="Times New Roman" w:hAnsi="Times New Roman" w:cs="Times New Roman"/>
          <w:sz w:val="24"/>
          <w:szCs w:val="24"/>
        </w:rPr>
        <w:t>2008</w:t>
      </w:r>
      <w:r w:rsidR="002149B8" w:rsidRPr="00473C61">
        <w:rPr>
          <w:rFonts w:ascii="Times New Roman" w:hAnsi="Times New Roman" w:cs="Times New Roman"/>
          <w:sz w:val="24"/>
          <w:szCs w:val="24"/>
        </w:rPr>
        <w:t>.</w:t>
      </w:r>
      <w:r w:rsidRPr="00473C61">
        <w:rPr>
          <w:rFonts w:ascii="Times New Roman" w:hAnsi="Times New Roman" w:cs="Times New Roman"/>
          <w:sz w:val="24"/>
          <w:szCs w:val="24"/>
        </w:rPr>
        <w:t xml:space="preserve"> The </w:t>
      </w:r>
      <w:r w:rsidR="007A7271" w:rsidRPr="00473C61">
        <w:rPr>
          <w:rFonts w:ascii="Times New Roman" w:hAnsi="Times New Roman" w:cs="Times New Roman"/>
          <w:sz w:val="24"/>
          <w:szCs w:val="24"/>
        </w:rPr>
        <w:t>sociology of discrimination: racial discrimination in employment, housing, credit, and consumer markets</w:t>
      </w:r>
      <w:r w:rsidR="00037F19" w:rsidRPr="00473C61">
        <w:rPr>
          <w:rFonts w:ascii="Times New Roman" w:hAnsi="Times New Roman" w:cs="Times New Roman"/>
          <w:sz w:val="24"/>
          <w:szCs w:val="24"/>
        </w:rPr>
        <w:t>.</w:t>
      </w:r>
      <w:r w:rsidR="002149B8" w:rsidRPr="00473C61">
        <w:rPr>
          <w:rFonts w:ascii="Times New Roman" w:hAnsi="Times New Roman" w:cs="Times New Roman"/>
          <w:sz w:val="24"/>
          <w:szCs w:val="24"/>
        </w:rPr>
        <w:t xml:space="preserve"> </w:t>
      </w:r>
      <w:r w:rsidR="00A410B2" w:rsidRPr="00473C61">
        <w:rPr>
          <w:rFonts w:ascii="Times New Roman" w:hAnsi="Times New Roman" w:cs="Times New Roman"/>
          <w:sz w:val="24"/>
          <w:szCs w:val="24"/>
        </w:rPr>
        <w:t>Annual Review of Sociology</w:t>
      </w:r>
      <w:r w:rsidR="007A7271" w:rsidRPr="00473C61">
        <w:rPr>
          <w:rFonts w:ascii="Times New Roman" w:hAnsi="Times New Roman" w:cs="Times New Roman"/>
          <w:sz w:val="24"/>
          <w:szCs w:val="24"/>
        </w:rPr>
        <w:t xml:space="preserve"> </w:t>
      </w:r>
      <w:r w:rsidR="002149B8" w:rsidRPr="00473C61">
        <w:rPr>
          <w:rFonts w:ascii="Times New Roman" w:hAnsi="Times New Roman" w:cs="Times New Roman"/>
          <w:sz w:val="24"/>
          <w:szCs w:val="24"/>
        </w:rPr>
        <w:t xml:space="preserve">34, </w:t>
      </w:r>
      <w:r w:rsidRPr="00473C61">
        <w:rPr>
          <w:rFonts w:ascii="Times New Roman" w:hAnsi="Times New Roman" w:cs="Times New Roman"/>
          <w:sz w:val="24"/>
          <w:szCs w:val="24"/>
        </w:rPr>
        <w:t>181</w:t>
      </w:r>
      <w:r w:rsidR="00037F19" w:rsidRPr="00473C61">
        <w:rPr>
          <w:rFonts w:ascii="Times New Roman" w:hAnsi="Times New Roman" w:cs="Times New Roman"/>
          <w:sz w:val="24"/>
          <w:szCs w:val="24"/>
        </w:rPr>
        <w:t>-</w:t>
      </w:r>
      <w:r w:rsidRPr="00473C61">
        <w:rPr>
          <w:rFonts w:ascii="Times New Roman" w:hAnsi="Times New Roman" w:cs="Times New Roman"/>
          <w:sz w:val="24"/>
          <w:szCs w:val="24"/>
        </w:rPr>
        <w:t>209</w:t>
      </w:r>
      <w:r w:rsidR="007A7271" w:rsidRPr="00473C61">
        <w:rPr>
          <w:rFonts w:ascii="Times New Roman" w:hAnsi="Times New Roman" w:cs="Times New Roman"/>
          <w:sz w:val="24"/>
          <w:szCs w:val="24"/>
        </w:rPr>
        <w:t>.</w:t>
      </w:r>
    </w:p>
    <w:p w:rsidR="004E1B96" w:rsidRPr="00473C61" w:rsidRDefault="00851247" w:rsidP="00311CEB">
      <w:pPr>
        <w:pStyle w:val="PreformattatoHTML"/>
        <w:spacing w:before="240"/>
        <w:jc w:val="both"/>
        <w:rPr>
          <w:rFonts w:ascii="Times New Roman" w:hAnsi="Times New Roman" w:cs="Times New Roman"/>
          <w:sz w:val="24"/>
          <w:szCs w:val="24"/>
        </w:rPr>
      </w:pPr>
      <w:r w:rsidRPr="00473C61">
        <w:rPr>
          <w:rFonts w:ascii="Times New Roman" w:hAnsi="Times New Roman" w:cs="Times New Roman"/>
          <w:sz w:val="24"/>
          <w:szCs w:val="24"/>
        </w:rPr>
        <w:t>Phillips-Patrick</w:t>
      </w:r>
      <w:r w:rsidR="002149B8" w:rsidRPr="00473C61">
        <w:rPr>
          <w:rFonts w:ascii="Times New Roman" w:hAnsi="Times New Roman" w:cs="Times New Roman"/>
          <w:sz w:val="24"/>
          <w:szCs w:val="24"/>
        </w:rPr>
        <w:t>,</w:t>
      </w:r>
      <w:r w:rsidRPr="00473C61">
        <w:rPr>
          <w:rFonts w:ascii="Times New Roman" w:hAnsi="Times New Roman" w:cs="Times New Roman"/>
          <w:sz w:val="24"/>
          <w:szCs w:val="24"/>
        </w:rPr>
        <w:t xml:space="preserve"> F</w:t>
      </w:r>
      <w:r w:rsidR="002149B8" w:rsidRPr="00473C61">
        <w:rPr>
          <w:rFonts w:ascii="Times New Roman" w:hAnsi="Times New Roman" w:cs="Times New Roman"/>
          <w:sz w:val="24"/>
          <w:szCs w:val="24"/>
        </w:rPr>
        <w:t>.</w:t>
      </w:r>
      <w:r w:rsidRPr="00473C61">
        <w:rPr>
          <w:rFonts w:ascii="Times New Roman" w:hAnsi="Times New Roman" w:cs="Times New Roman"/>
          <w:sz w:val="24"/>
          <w:szCs w:val="24"/>
        </w:rPr>
        <w:t>J</w:t>
      </w:r>
      <w:r w:rsidR="002149B8" w:rsidRPr="00473C61">
        <w:rPr>
          <w:rFonts w:ascii="Times New Roman" w:hAnsi="Times New Roman" w:cs="Times New Roman"/>
          <w:sz w:val="24"/>
          <w:szCs w:val="24"/>
        </w:rPr>
        <w:t>.</w:t>
      </w:r>
      <w:r w:rsidR="007A7271" w:rsidRPr="00473C61">
        <w:rPr>
          <w:rFonts w:ascii="Times New Roman" w:hAnsi="Times New Roman" w:cs="Times New Roman"/>
          <w:sz w:val="24"/>
          <w:szCs w:val="24"/>
        </w:rPr>
        <w:t xml:space="preserve"> and</w:t>
      </w:r>
      <w:r w:rsidRPr="00473C61">
        <w:rPr>
          <w:rFonts w:ascii="Times New Roman" w:hAnsi="Times New Roman" w:cs="Times New Roman"/>
          <w:sz w:val="24"/>
          <w:szCs w:val="24"/>
        </w:rPr>
        <w:t xml:space="preserve"> Rossi</w:t>
      </w:r>
      <w:r w:rsidR="002149B8" w:rsidRPr="00473C61">
        <w:rPr>
          <w:rFonts w:ascii="Times New Roman" w:hAnsi="Times New Roman" w:cs="Times New Roman"/>
          <w:sz w:val="24"/>
          <w:szCs w:val="24"/>
        </w:rPr>
        <w:t>,</w:t>
      </w:r>
      <w:r w:rsidRPr="00473C61">
        <w:rPr>
          <w:rFonts w:ascii="Times New Roman" w:hAnsi="Times New Roman" w:cs="Times New Roman"/>
          <w:sz w:val="24"/>
          <w:szCs w:val="24"/>
        </w:rPr>
        <w:t xml:space="preserve"> C</w:t>
      </w:r>
      <w:r w:rsidR="002149B8" w:rsidRPr="00473C61">
        <w:rPr>
          <w:rFonts w:ascii="Times New Roman" w:hAnsi="Times New Roman" w:cs="Times New Roman"/>
          <w:sz w:val="24"/>
          <w:szCs w:val="24"/>
        </w:rPr>
        <w:t>.</w:t>
      </w:r>
      <w:r w:rsidRPr="00473C61">
        <w:rPr>
          <w:rFonts w:ascii="Times New Roman" w:hAnsi="Times New Roman" w:cs="Times New Roman"/>
          <w:sz w:val="24"/>
          <w:szCs w:val="24"/>
        </w:rPr>
        <w:t>V. 1996. Statistical evidence of mortgage redlining? A cautionary tale</w:t>
      </w:r>
      <w:r w:rsidR="007A7271" w:rsidRPr="00473C61">
        <w:rPr>
          <w:rFonts w:ascii="Times New Roman" w:hAnsi="Times New Roman" w:cs="Times New Roman"/>
          <w:sz w:val="24"/>
          <w:szCs w:val="24"/>
        </w:rPr>
        <w:t>,</w:t>
      </w:r>
      <w:r w:rsidRPr="00473C61">
        <w:rPr>
          <w:rFonts w:ascii="Times New Roman" w:hAnsi="Times New Roman" w:cs="Times New Roman"/>
          <w:sz w:val="24"/>
          <w:szCs w:val="24"/>
        </w:rPr>
        <w:t xml:space="preserve"> </w:t>
      </w:r>
      <w:r w:rsidR="00A410B2" w:rsidRPr="00473C61">
        <w:rPr>
          <w:rFonts w:ascii="Times New Roman" w:hAnsi="Times New Roman" w:cs="Times New Roman"/>
          <w:sz w:val="24"/>
          <w:szCs w:val="24"/>
        </w:rPr>
        <w:t>Journal of Real Estate Research</w:t>
      </w:r>
      <w:r w:rsidRPr="00473C61">
        <w:rPr>
          <w:rFonts w:ascii="Times New Roman" w:hAnsi="Times New Roman" w:cs="Times New Roman"/>
          <w:sz w:val="24"/>
          <w:szCs w:val="24"/>
        </w:rPr>
        <w:t xml:space="preserve"> </w:t>
      </w:r>
      <w:r w:rsidR="002149B8" w:rsidRPr="00473C61">
        <w:rPr>
          <w:rFonts w:ascii="Times New Roman" w:hAnsi="Times New Roman" w:cs="Times New Roman"/>
          <w:sz w:val="24"/>
          <w:szCs w:val="24"/>
        </w:rPr>
        <w:t xml:space="preserve">11, </w:t>
      </w:r>
      <w:r w:rsidRPr="00473C61">
        <w:rPr>
          <w:rFonts w:ascii="Times New Roman" w:hAnsi="Times New Roman" w:cs="Times New Roman"/>
          <w:sz w:val="24"/>
          <w:szCs w:val="24"/>
        </w:rPr>
        <w:t>13–24</w:t>
      </w:r>
      <w:r w:rsidR="007A7271" w:rsidRPr="00473C61">
        <w:rPr>
          <w:rFonts w:ascii="Times New Roman" w:hAnsi="Times New Roman" w:cs="Times New Roman"/>
          <w:sz w:val="24"/>
          <w:szCs w:val="24"/>
        </w:rPr>
        <w:t>.</w:t>
      </w:r>
    </w:p>
    <w:p w:rsidR="007B762B" w:rsidRPr="00473C61" w:rsidRDefault="007B762B" w:rsidP="00311CEB">
      <w:pPr>
        <w:pStyle w:val="PreformattatoHTML"/>
        <w:spacing w:before="240"/>
        <w:jc w:val="both"/>
        <w:rPr>
          <w:rFonts w:ascii="Times New Roman" w:hAnsi="Times New Roman" w:cs="Times New Roman"/>
          <w:sz w:val="24"/>
          <w:szCs w:val="24"/>
        </w:rPr>
      </w:pPr>
      <w:r w:rsidRPr="00473C61">
        <w:rPr>
          <w:rFonts w:ascii="Times New Roman" w:hAnsi="Times New Roman" w:cs="Times New Roman"/>
          <w:sz w:val="24"/>
          <w:szCs w:val="24"/>
        </w:rPr>
        <w:t>Rosenbaum, P.R., Rubin, D.B., 1983. The Central Role of the Propensity Score in Observational Studies for Causal Effects, Biometrika 70, 41-55.</w:t>
      </w:r>
    </w:p>
    <w:p w:rsidR="004E1B96" w:rsidRPr="00473C61" w:rsidRDefault="00C11C06" w:rsidP="00311CEB">
      <w:pPr>
        <w:pStyle w:val="PreformattatoHTML"/>
        <w:spacing w:before="240"/>
        <w:jc w:val="both"/>
        <w:rPr>
          <w:rFonts w:ascii="Times New Roman" w:hAnsi="Times New Roman" w:cs="Times New Roman"/>
          <w:sz w:val="24"/>
          <w:szCs w:val="24"/>
        </w:rPr>
      </w:pPr>
      <w:r w:rsidRPr="00473C61">
        <w:rPr>
          <w:rFonts w:ascii="Times New Roman" w:hAnsi="Times New Roman" w:cs="Times New Roman"/>
          <w:sz w:val="24"/>
          <w:szCs w:val="24"/>
        </w:rPr>
        <w:t>Ross, S.,</w:t>
      </w:r>
      <w:r w:rsidR="00A410B2" w:rsidRPr="00473C61">
        <w:rPr>
          <w:rFonts w:ascii="Times New Roman" w:hAnsi="Times New Roman" w:cs="Times New Roman"/>
          <w:sz w:val="24"/>
          <w:szCs w:val="24"/>
        </w:rPr>
        <w:t>Yinger, J.</w:t>
      </w:r>
      <w:r w:rsidRPr="00473C61">
        <w:rPr>
          <w:rFonts w:ascii="Times New Roman" w:hAnsi="Times New Roman" w:cs="Times New Roman"/>
          <w:sz w:val="24"/>
          <w:szCs w:val="24"/>
        </w:rPr>
        <w:t>,</w:t>
      </w:r>
      <w:r w:rsidR="00A410B2" w:rsidRPr="00473C61">
        <w:rPr>
          <w:rFonts w:ascii="Times New Roman" w:hAnsi="Times New Roman" w:cs="Times New Roman"/>
          <w:sz w:val="24"/>
          <w:szCs w:val="24"/>
        </w:rPr>
        <w:t xml:space="preserve"> 1999. Does discrimination in mortgage lending exist? The Bo</w:t>
      </w:r>
      <w:r w:rsidR="00203B60" w:rsidRPr="00473C61">
        <w:rPr>
          <w:rFonts w:ascii="Times New Roman" w:hAnsi="Times New Roman" w:cs="Times New Roman"/>
          <w:sz w:val="24"/>
          <w:szCs w:val="24"/>
        </w:rPr>
        <w:t>ston Fed study and its critics, in</w:t>
      </w:r>
      <w:r w:rsidR="00A410B2" w:rsidRPr="00473C61">
        <w:rPr>
          <w:rFonts w:ascii="Times New Roman" w:hAnsi="Times New Roman" w:cs="Times New Roman"/>
          <w:sz w:val="24"/>
          <w:szCs w:val="24"/>
        </w:rPr>
        <w:t xml:space="preserve"> Turner M</w:t>
      </w:r>
      <w:r w:rsidRPr="00473C61">
        <w:rPr>
          <w:rFonts w:ascii="Times New Roman" w:hAnsi="Times New Roman" w:cs="Times New Roman"/>
          <w:sz w:val="24"/>
          <w:szCs w:val="24"/>
        </w:rPr>
        <w:t>.</w:t>
      </w:r>
      <w:r w:rsidR="00A410B2" w:rsidRPr="00473C61">
        <w:rPr>
          <w:rFonts w:ascii="Times New Roman" w:hAnsi="Times New Roman" w:cs="Times New Roman"/>
          <w:sz w:val="24"/>
          <w:szCs w:val="24"/>
        </w:rPr>
        <w:t>A</w:t>
      </w:r>
      <w:r w:rsidRPr="00473C61">
        <w:rPr>
          <w:rFonts w:ascii="Times New Roman" w:hAnsi="Times New Roman" w:cs="Times New Roman"/>
          <w:sz w:val="24"/>
          <w:szCs w:val="24"/>
        </w:rPr>
        <w:t>.</w:t>
      </w:r>
      <w:r w:rsidR="00A410B2" w:rsidRPr="00473C61">
        <w:rPr>
          <w:rFonts w:ascii="Times New Roman" w:hAnsi="Times New Roman" w:cs="Times New Roman"/>
          <w:sz w:val="24"/>
          <w:szCs w:val="24"/>
        </w:rPr>
        <w:t>, Skidmore F, eds. 1999. Mortgage Lending Discrimination: A Review of Existing Evidence. Washington, DC: Urban Inst. Press</w:t>
      </w:r>
    </w:p>
    <w:p w:rsidR="001976D0" w:rsidRPr="00473C61" w:rsidRDefault="001976D0" w:rsidP="00311CEB">
      <w:pPr>
        <w:pStyle w:val="PreformattatoHTML"/>
        <w:spacing w:before="240"/>
        <w:jc w:val="both"/>
        <w:rPr>
          <w:rFonts w:ascii="Times New Roman" w:hAnsi="Times New Roman" w:cs="Times New Roman"/>
          <w:sz w:val="24"/>
          <w:szCs w:val="24"/>
        </w:rPr>
      </w:pPr>
      <w:r w:rsidRPr="00473C61">
        <w:rPr>
          <w:rFonts w:ascii="Times New Roman" w:hAnsi="Times New Roman" w:cs="Times New Roman"/>
          <w:sz w:val="24"/>
          <w:szCs w:val="24"/>
        </w:rPr>
        <w:t>Sartori, A., 2003. An Estimator for Some Binary-Outcome Selection Models Without Exclusion Restrictions. Political Analysis 11,111–138.</w:t>
      </w:r>
    </w:p>
    <w:p w:rsidR="004E1B96" w:rsidRPr="00473C61" w:rsidRDefault="00851247" w:rsidP="00311CEB">
      <w:pPr>
        <w:pStyle w:val="PreformattatoHTML"/>
        <w:spacing w:before="240"/>
        <w:jc w:val="both"/>
        <w:rPr>
          <w:rFonts w:ascii="Times New Roman" w:hAnsi="Times New Roman" w:cs="Times New Roman"/>
          <w:sz w:val="24"/>
          <w:szCs w:val="24"/>
        </w:rPr>
      </w:pPr>
      <w:r w:rsidRPr="00473C61">
        <w:rPr>
          <w:rFonts w:ascii="Times New Roman" w:hAnsi="Times New Roman" w:cs="Times New Roman"/>
          <w:sz w:val="24"/>
          <w:szCs w:val="24"/>
        </w:rPr>
        <w:t>Schafer</w:t>
      </w:r>
      <w:r w:rsidR="002149B8" w:rsidRPr="00473C61">
        <w:rPr>
          <w:rFonts w:ascii="Times New Roman" w:hAnsi="Times New Roman" w:cs="Times New Roman"/>
          <w:sz w:val="24"/>
          <w:szCs w:val="24"/>
        </w:rPr>
        <w:t>,</w:t>
      </w:r>
      <w:r w:rsidRPr="00473C61">
        <w:rPr>
          <w:rFonts w:ascii="Times New Roman" w:hAnsi="Times New Roman" w:cs="Times New Roman"/>
          <w:sz w:val="24"/>
          <w:szCs w:val="24"/>
        </w:rPr>
        <w:t xml:space="preserve"> R</w:t>
      </w:r>
      <w:r w:rsidR="002149B8" w:rsidRPr="00473C61">
        <w:rPr>
          <w:rFonts w:ascii="Times New Roman" w:hAnsi="Times New Roman" w:cs="Times New Roman"/>
          <w:sz w:val="24"/>
          <w:szCs w:val="24"/>
        </w:rPr>
        <w:t>.</w:t>
      </w:r>
      <w:r w:rsidR="00C11C06" w:rsidRPr="00473C61">
        <w:rPr>
          <w:rFonts w:ascii="Times New Roman" w:hAnsi="Times New Roman" w:cs="Times New Roman"/>
          <w:sz w:val="24"/>
          <w:szCs w:val="24"/>
        </w:rPr>
        <w:t xml:space="preserve">, </w:t>
      </w:r>
      <w:r w:rsidRPr="00473C61">
        <w:rPr>
          <w:rFonts w:ascii="Times New Roman" w:hAnsi="Times New Roman" w:cs="Times New Roman"/>
          <w:sz w:val="24"/>
          <w:szCs w:val="24"/>
        </w:rPr>
        <w:t>Ladd</w:t>
      </w:r>
      <w:r w:rsidR="002149B8" w:rsidRPr="00473C61">
        <w:rPr>
          <w:rFonts w:ascii="Times New Roman" w:hAnsi="Times New Roman" w:cs="Times New Roman"/>
          <w:sz w:val="24"/>
          <w:szCs w:val="24"/>
        </w:rPr>
        <w:t>,</w:t>
      </w:r>
      <w:r w:rsidRPr="00473C61">
        <w:rPr>
          <w:rFonts w:ascii="Times New Roman" w:hAnsi="Times New Roman" w:cs="Times New Roman"/>
          <w:sz w:val="24"/>
          <w:szCs w:val="24"/>
        </w:rPr>
        <w:t xml:space="preserve"> H.</w:t>
      </w:r>
      <w:r w:rsidR="00C11C06" w:rsidRPr="00473C61">
        <w:rPr>
          <w:rFonts w:ascii="Times New Roman" w:hAnsi="Times New Roman" w:cs="Times New Roman"/>
          <w:sz w:val="24"/>
          <w:szCs w:val="24"/>
        </w:rPr>
        <w:t>,</w:t>
      </w:r>
      <w:r w:rsidRPr="00473C61">
        <w:rPr>
          <w:rFonts w:ascii="Times New Roman" w:hAnsi="Times New Roman" w:cs="Times New Roman"/>
          <w:sz w:val="24"/>
          <w:szCs w:val="24"/>
        </w:rPr>
        <w:t xml:space="preserve"> 1981. </w:t>
      </w:r>
      <w:r w:rsidR="00A410B2" w:rsidRPr="00473C61">
        <w:rPr>
          <w:rFonts w:ascii="Times New Roman" w:hAnsi="Times New Roman" w:cs="Times New Roman"/>
          <w:sz w:val="24"/>
          <w:szCs w:val="24"/>
        </w:rPr>
        <w:t>Discrimination in Mortgage Lending</w:t>
      </w:r>
      <w:r w:rsidR="00C11C06" w:rsidRPr="00473C61">
        <w:rPr>
          <w:rFonts w:ascii="Times New Roman" w:hAnsi="Times New Roman" w:cs="Times New Roman"/>
          <w:sz w:val="24"/>
          <w:szCs w:val="24"/>
        </w:rPr>
        <w:t>.</w:t>
      </w:r>
      <w:r w:rsidRPr="00473C61">
        <w:rPr>
          <w:rFonts w:ascii="Times New Roman" w:hAnsi="Times New Roman" w:cs="Times New Roman"/>
          <w:sz w:val="24"/>
          <w:szCs w:val="24"/>
        </w:rPr>
        <w:t xml:space="preserve"> Cambridge</w:t>
      </w:r>
      <w:r w:rsidR="00E60FEB" w:rsidRPr="00473C61">
        <w:rPr>
          <w:rFonts w:ascii="Times New Roman" w:hAnsi="Times New Roman" w:cs="Times New Roman"/>
          <w:sz w:val="24"/>
          <w:szCs w:val="24"/>
        </w:rPr>
        <w:t xml:space="preserve">: </w:t>
      </w:r>
      <w:r w:rsidRPr="00473C61">
        <w:rPr>
          <w:rFonts w:ascii="Times New Roman" w:hAnsi="Times New Roman" w:cs="Times New Roman"/>
          <w:sz w:val="24"/>
          <w:szCs w:val="24"/>
        </w:rPr>
        <w:t>MIT Press</w:t>
      </w:r>
    </w:p>
    <w:p w:rsidR="004E1B96" w:rsidRPr="00473C61" w:rsidRDefault="005B5C87" w:rsidP="00311CEB">
      <w:pPr>
        <w:spacing w:before="240" w:after="0" w:line="240" w:lineRule="auto"/>
        <w:jc w:val="both"/>
        <w:rPr>
          <w:rFonts w:ascii="Times New Roman" w:hAnsi="Times New Roman"/>
          <w:sz w:val="24"/>
          <w:szCs w:val="24"/>
        </w:rPr>
      </w:pPr>
      <w:r w:rsidRPr="00473C61">
        <w:rPr>
          <w:rFonts w:ascii="Times New Roman" w:hAnsi="Times New Roman"/>
          <w:sz w:val="24"/>
          <w:szCs w:val="24"/>
        </w:rPr>
        <w:t>Simpson, W.</w:t>
      </w:r>
      <w:r w:rsidR="00C11C06" w:rsidRPr="00473C61">
        <w:rPr>
          <w:rFonts w:ascii="Times New Roman" w:hAnsi="Times New Roman"/>
          <w:sz w:val="24"/>
          <w:szCs w:val="24"/>
        </w:rPr>
        <w:t>,</w:t>
      </w:r>
      <w:r w:rsidR="000675C5" w:rsidRPr="00473C61">
        <w:rPr>
          <w:rFonts w:ascii="Times New Roman" w:hAnsi="Times New Roman"/>
          <w:sz w:val="24"/>
          <w:szCs w:val="24"/>
        </w:rPr>
        <w:t xml:space="preserve"> </w:t>
      </w:r>
      <w:r w:rsidRPr="00473C61">
        <w:rPr>
          <w:rFonts w:ascii="Times New Roman" w:hAnsi="Times New Roman"/>
          <w:sz w:val="24"/>
          <w:szCs w:val="24"/>
        </w:rPr>
        <w:t>Buckland, J.</w:t>
      </w:r>
      <w:r w:rsidR="00C11C06" w:rsidRPr="00473C61">
        <w:rPr>
          <w:rFonts w:ascii="Times New Roman" w:hAnsi="Times New Roman"/>
          <w:sz w:val="24"/>
          <w:szCs w:val="24"/>
        </w:rPr>
        <w:t>,</w:t>
      </w:r>
      <w:r w:rsidRPr="00473C61">
        <w:rPr>
          <w:rFonts w:ascii="Times New Roman" w:hAnsi="Times New Roman"/>
          <w:sz w:val="24"/>
          <w:szCs w:val="24"/>
        </w:rPr>
        <w:t xml:space="preserve"> 2009. Examining evidence of financial and credit exclusion in Canada from 1999 to 2005</w:t>
      </w:r>
      <w:r w:rsidR="00C11C06" w:rsidRPr="00473C61">
        <w:rPr>
          <w:rFonts w:ascii="Times New Roman" w:hAnsi="Times New Roman"/>
          <w:sz w:val="24"/>
          <w:szCs w:val="24"/>
        </w:rPr>
        <w:t>.</w:t>
      </w:r>
      <w:r w:rsidRPr="00473C61">
        <w:rPr>
          <w:rFonts w:ascii="Times New Roman" w:hAnsi="Times New Roman"/>
          <w:sz w:val="24"/>
          <w:szCs w:val="24"/>
        </w:rPr>
        <w:t xml:space="preserve"> </w:t>
      </w:r>
      <w:r w:rsidR="00A410B2" w:rsidRPr="00473C61">
        <w:rPr>
          <w:rFonts w:ascii="Times New Roman" w:hAnsi="Times New Roman"/>
          <w:sz w:val="24"/>
          <w:szCs w:val="24"/>
        </w:rPr>
        <w:t>The Journal of Socio-Economics</w:t>
      </w:r>
      <w:r w:rsidR="000675C5" w:rsidRPr="00473C61">
        <w:rPr>
          <w:rFonts w:ascii="Times New Roman" w:hAnsi="Times New Roman"/>
          <w:sz w:val="24"/>
          <w:szCs w:val="24"/>
        </w:rPr>
        <w:t xml:space="preserve"> </w:t>
      </w:r>
      <w:r w:rsidRPr="00473C61">
        <w:rPr>
          <w:rFonts w:ascii="Times New Roman" w:hAnsi="Times New Roman"/>
          <w:sz w:val="24"/>
          <w:szCs w:val="24"/>
        </w:rPr>
        <w:t xml:space="preserve">38, </w:t>
      </w:r>
      <w:r w:rsidR="00C11C06" w:rsidRPr="00473C61">
        <w:rPr>
          <w:rFonts w:ascii="Times New Roman" w:hAnsi="Times New Roman"/>
          <w:sz w:val="24"/>
          <w:szCs w:val="24"/>
        </w:rPr>
        <w:t>966-9</w:t>
      </w:r>
      <w:r w:rsidRPr="00473C61">
        <w:rPr>
          <w:rFonts w:ascii="Times New Roman" w:hAnsi="Times New Roman"/>
          <w:sz w:val="24"/>
          <w:szCs w:val="24"/>
        </w:rPr>
        <w:t>76.</w:t>
      </w:r>
    </w:p>
    <w:p w:rsidR="004E1B96" w:rsidRPr="00473C61" w:rsidRDefault="00851247" w:rsidP="00311CEB">
      <w:pPr>
        <w:spacing w:before="240" w:after="0" w:line="240" w:lineRule="auto"/>
        <w:jc w:val="both"/>
        <w:rPr>
          <w:rFonts w:ascii="Times New Roman" w:hAnsi="Times New Roman"/>
          <w:sz w:val="24"/>
          <w:szCs w:val="24"/>
        </w:rPr>
      </w:pPr>
      <w:r w:rsidRPr="00473C61">
        <w:rPr>
          <w:rFonts w:ascii="Times New Roman" w:hAnsi="Times New Roman"/>
          <w:sz w:val="24"/>
          <w:szCs w:val="24"/>
        </w:rPr>
        <w:t>Siskin</w:t>
      </w:r>
      <w:r w:rsidR="00CD25A9" w:rsidRPr="00473C61">
        <w:rPr>
          <w:rFonts w:ascii="Times New Roman" w:hAnsi="Times New Roman"/>
          <w:sz w:val="24"/>
          <w:szCs w:val="24"/>
        </w:rPr>
        <w:t>,</w:t>
      </w:r>
      <w:r w:rsidRPr="00473C61">
        <w:rPr>
          <w:rFonts w:ascii="Times New Roman" w:hAnsi="Times New Roman"/>
          <w:sz w:val="24"/>
          <w:szCs w:val="24"/>
        </w:rPr>
        <w:t xml:space="preserve"> B</w:t>
      </w:r>
      <w:r w:rsidR="00CD25A9" w:rsidRPr="00473C61">
        <w:rPr>
          <w:rFonts w:ascii="Times New Roman" w:hAnsi="Times New Roman"/>
          <w:sz w:val="24"/>
          <w:szCs w:val="24"/>
        </w:rPr>
        <w:t>.</w:t>
      </w:r>
      <w:r w:rsidRPr="00473C61">
        <w:rPr>
          <w:rFonts w:ascii="Times New Roman" w:hAnsi="Times New Roman"/>
          <w:sz w:val="24"/>
          <w:szCs w:val="24"/>
        </w:rPr>
        <w:t>R</w:t>
      </w:r>
      <w:r w:rsidR="00CD25A9" w:rsidRPr="00473C61">
        <w:rPr>
          <w:rFonts w:ascii="Times New Roman" w:hAnsi="Times New Roman"/>
          <w:sz w:val="24"/>
          <w:szCs w:val="24"/>
        </w:rPr>
        <w:t>.</w:t>
      </w:r>
      <w:r w:rsidR="00C11C06" w:rsidRPr="00473C61">
        <w:rPr>
          <w:rFonts w:ascii="Times New Roman" w:hAnsi="Times New Roman"/>
          <w:sz w:val="24"/>
          <w:szCs w:val="24"/>
        </w:rPr>
        <w:t>,</w:t>
      </w:r>
      <w:r w:rsidR="000675C5" w:rsidRPr="00473C61">
        <w:rPr>
          <w:rFonts w:ascii="Times New Roman" w:hAnsi="Times New Roman"/>
          <w:sz w:val="24"/>
          <w:szCs w:val="24"/>
        </w:rPr>
        <w:t xml:space="preserve"> </w:t>
      </w:r>
      <w:r w:rsidRPr="00473C61">
        <w:rPr>
          <w:rFonts w:ascii="Times New Roman" w:hAnsi="Times New Roman"/>
          <w:sz w:val="24"/>
          <w:szCs w:val="24"/>
        </w:rPr>
        <w:t>Cupingood</w:t>
      </w:r>
      <w:r w:rsidR="00CD25A9" w:rsidRPr="00473C61">
        <w:rPr>
          <w:rFonts w:ascii="Times New Roman" w:hAnsi="Times New Roman"/>
          <w:sz w:val="24"/>
          <w:szCs w:val="24"/>
        </w:rPr>
        <w:t>,</w:t>
      </w:r>
      <w:r w:rsidRPr="00473C61">
        <w:rPr>
          <w:rFonts w:ascii="Times New Roman" w:hAnsi="Times New Roman"/>
          <w:sz w:val="24"/>
          <w:szCs w:val="24"/>
        </w:rPr>
        <w:t xml:space="preserve"> L</w:t>
      </w:r>
      <w:r w:rsidR="00CD25A9" w:rsidRPr="00473C61">
        <w:rPr>
          <w:rFonts w:ascii="Times New Roman" w:hAnsi="Times New Roman"/>
          <w:sz w:val="24"/>
          <w:szCs w:val="24"/>
        </w:rPr>
        <w:t>.</w:t>
      </w:r>
      <w:r w:rsidRPr="00473C61">
        <w:rPr>
          <w:rFonts w:ascii="Times New Roman" w:hAnsi="Times New Roman"/>
          <w:sz w:val="24"/>
          <w:szCs w:val="24"/>
        </w:rPr>
        <w:t>A.</w:t>
      </w:r>
      <w:r w:rsidR="00C11C06" w:rsidRPr="00473C61">
        <w:rPr>
          <w:rFonts w:ascii="Times New Roman" w:hAnsi="Times New Roman"/>
          <w:sz w:val="24"/>
          <w:szCs w:val="24"/>
        </w:rPr>
        <w:t>,</w:t>
      </w:r>
      <w:r w:rsidRPr="00473C61">
        <w:rPr>
          <w:rFonts w:ascii="Times New Roman" w:hAnsi="Times New Roman"/>
          <w:sz w:val="24"/>
          <w:szCs w:val="24"/>
        </w:rPr>
        <w:t xml:space="preserve"> 1996. Use of statistical models to provide statistical evidence of discrimination in the treatment of mortgage loan applicants: a study of one lending institution</w:t>
      </w:r>
      <w:r w:rsidR="00480851" w:rsidRPr="00473C61">
        <w:rPr>
          <w:rFonts w:ascii="Times New Roman" w:hAnsi="Times New Roman"/>
          <w:sz w:val="24"/>
          <w:szCs w:val="24"/>
        </w:rPr>
        <w:t>. I</w:t>
      </w:r>
      <w:r w:rsidRPr="00473C61">
        <w:rPr>
          <w:rFonts w:ascii="Times New Roman" w:hAnsi="Times New Roman"/>
          <w:sz w:val="24"/>
          <w:szCs w:val="24"/>
        </w:rPr>
        <w:t xml:space="preserve">n </w:t>
      </w:r>
      <w:r w:rsidR="000675C5" w:rsidRPr="00473C61">
        <w:rPr>
          <w:rFonts w:ascii="Times New Roman" w:hAnsi="Times New Roman"/>
          <w:sz w:val="24"/>
          <w:szCs w:val="24"/>
        </w:rPr>
        <w:t xml:space="preserve">Goering, </w:t>
      </w:r>
      <w:r w:rsidR="00203B60" w:rsidRPr="00473C61">
        <w:rPr>
          <w:rFonts w:ascii="Times New Roman" w:hAnsi="Times New Roman"/>
          <w:sz w:val="24"/>
          <w:szCs w:val="24"/>
        </w:rPr>
        <w:t xml:space="preserve">J., </w:t>
      </w:r>
      <w:r w:rsidR="000675C5" w:rsidRPr="00473C61">
        <w:rPr>
          <w:rFonts w:ascii="Times New Roman" w:hAnsi="Times New Roman"/>
          <w:sz w:val="24"/>
          <w:szCs w:val="24"/>
        </w:rPr>
        <w:t>Wienk,</w:t>
      </w:r>
      <w:r w:rsidR="00203B60" w:rsidRPr="00473C61">
        <w:rPr>
          <w:rFonts w:ascii="Times New Roman" w:hAnsi="Times New Roman"/>
          <w:sz w:val="24"/>
          <w:szCs w:val="24"/>
        </w:rPr>
        <w:t xml:space="preserve"> R.,</w:t>
      </w:r>
      <w:r w:rsidR="000675C5" w:rsidRPr="00473C61">
        <w:rPr>
          <w:rFonts w:ascii="Times New Roman" w:hAnsi="Times New Roman"/>
          <w:sz w:val="24"/>
          <w:szCs w:val="24"/>
        </w:rPr>
        <w:t xml:space="preserve"> eds</w:t>
      </w:r>
      <w:r w:rsidR="00156C8B" w:rsidRPr="00473C61">
        <w:rPr>
          <w:rFonts w:ascii="Times New Roman" w:hAnsi="Times New Roman"/>
          <w:sz w:val="24"/>
          <w:szCs w:val="24"/>
        </w:rPr>
        <w:t>.,</w:t>
      </w:r>
      <w:r w:rsidR="000675C5" w:rsidRPr="00473C61">
        <w:rPr>
          <w:rFonts w:ascii="Times New Roman" w:hAnsi="Times New Roman"/>
          <w:sz w:val="24"/>
          <w:szCs w:val="24"/>
        </w:rPr>
        <w:t xml:space="preserve"> </w:t>
      </w:r>
      <w:r w:rsidR="00A410B2" w:rsidRPr="00473C61">
        <w:rPr>
          <w:rFonts w:ascii="Times New Roman" w:hAnsi="Times New Roman"/>
          <w:sz w:val="24"/>
          <w:szCs w:val="24"/>
        </w:rPr>
        <w:t>Mortgage Lending, Racial Discrimination, and Federal Policy</w:t>
      </w:r>
      <w:r w:rsidR="00CD25A9" w:rsidRPr="00473C61">
        <w:rPr>
          <w:rFonts w:ascii="Times New Roman" w:hAnsi="Times New Roman"/>
          <w:sz w:val="24"/>
          <w:szCs w:val="24"/>
        </w:rPr>
        <w:t xml:space="preserve">, </w:t>
      </w:r>
      <w:r w:rsidR="00C11C06" w:rsidRPr="00473C61">
        <w:rPr>
          <w:rFonts w:ascii="Times New Roman" w:hAnsi="Times New Roman"/>
          <w:sz w:val="24"/>
          <w:szCs w:val="24"/>
        </w:rPr>
        <w:t>451-4</w:t>
      </w:r>
      <w:r w:rsidRPr="00473C61">
        <w:rPr>
          <w:rFonts w:ascii="Times New Roman" w:hAnsi="Times New Roman"/>
          <w:sz w:val="24"/>
          <w:szCs w:val="24"/>
        </w:rPr>
        <w:t>68</w:t>
      </w:r>
      <w:r w:rsidR="00C11C06" w:rsidRPr="00473C61">
        <w:rPr>
          <w:rFonts w:ascii="Times New Roman" w:hAnsi="Times New Roman"/>
          <w:sz w:val="24"/>
          <w:szCs w:val="24"/>
        </w:rPr>
        <w:t>.</w:t>
      </w:r>
      <w:r w:rsidR="00156C8B" w:rsidRPr="00473C61">
        <w:rPr>
          <w:rFonts w:ascii="Times New Roman" w:hAnsi="Times New Roman"/>
          <w:sz w:val="24"/>
          <w:szCs w:val="24"/>
        </w:rPr>
        <w:t xml:space="preserve"> Washington</w:t>
      </w:r>
      <w:r w:rsidRPr="00473C61">
        <w:rPr>
          <w:rFonts w:ascii="Times New Roman" w:hAnsi="Times New Roman"/>
          <w:sz w:val="24"/>
          <w:szCs w:val="24"/>
        </w:rPr>
        <w:t>: Urban Inst. Press</w:t>
      </w:r>
      <w:r w:rsidR="00156C8B" w:rsidRPr="00473C61">
        <w:rPr>
          <w:rFonts w:ascii="Times New Roman" w:hAnsi="Times New Roman"/>
          <w:sz w:val="24"/>
          <w:szCs w:val="24"/>
        </w:rPr>
        <w:t>.</w:t>
      </w:r>
    </w:p>
    <w:p w:rsidR="004E1B96" w:rsidRPr="00473C61" w:rsidRDefault="00851247" w:rsidP="00311CEB">
      <w:pPr>
        <w:spacing w:before="240" w:after="0" w:line="240" w:lineRule="auto"/>
        <w:jc w:val="both"/>
        <w:rPr>
          <w:rFonts w:ascii="Times New Roman" w:hAnsi="Times New Roman"/>
          <w:sz w:val="24"/>
          <w:szCs w:val="24"/>
        </w:rPr>
      </w:pPr>
      <w:r w:rsidRPr="00473C61">
        <w:rPr>
          <w:rFonts w:ascii="Times New Roman" w:hAnsi="Times New Roman"/>
          <w:sz w:val="24"/>
          <w:szCs w:val="24"/>
        </w:rPr>
        <w:t>Tootell, G</w:t>
      </w:r>
      <w:r w:rsidR="00CD25A9" w:rsidRPr="00473C61">
        <w:rPr>
          <w:rFonts w:ascii="Times New Roman" w:hAnsi="Times New Roman"/>
          <w:sz w:val="24"/>
          <w:szCs w:val="24"/>
        </w:rPr>
        <w:t>.</w:t>
      </w:r>
      <w:r w:rsidRPr="00473C61">
        <w:rPr>
          <w:rFonts w:ascii="Times New Roman" w:hAnsi="Times New Roman"/>
          <w:sz w:val="24"/>
          <w:szCs w:val="24"/>
        </w:rPr>
        <w:t>M.B</w:t>
      </w:r>
      <w:r w:rsidR="00CD25A9" w:rsidRPr="00473C61">
        <w:rPr>
          <w:rFonts w:ascii="Times New Roman" w:hAnsi="Times New Roman"/>
          <w:sz w:val="24"/>
          <w:szCs w:val="24"/>
        </w:rPr>
        <w:t>.</w:t>
      </w:r>
      <w:r w:rsidR="00203B60" w:rsidRPr="00473C61">
        <w:rPr>
          <w:rFonts w:ascii="Times New Roman" w:hAnsi="Times New Roman"/>
          <w:sz w:val="24"/>
          <w:szCs w:val="24"/>
        </w:rPr>
        <w:t>,</w:t>
      </w:r>
      <w:r w:rsidRPr="00473C61">
        <w:rPr>
          <w:rFonts w:ascii="Times New Roman" w:hAnsi="Times New Roman"/>
          <w:sz w:val="24"/>
          <w:szCs w:val="24"/>
        </w:rPr>
        <w:t xml:space="preserve"> 1996.</w:t>
      </w:r>
      <w:r w:rsidR="00CD25A9" w:rsidRPr="00473C61">
        <w:rPr>
          <w:rFonts w:ascii="Times New Roman" w:hAnsi="Times New Roman"/>
          <w:sz w:val="24"/>
          <w:szCs w:val="24"/>
        </w:rPr>
        <w:t xml:space="preserve"> </w:t>
      </w:r>
      <w:r w:rsidRPr="00473C61">
        <w:rPr>
          <w:rFonts w:ascii="Times New Roman" w:hAnsi="Times New Roman"/>
          <w:sz w:val="24"/>
          <w:szCs w:val="24"/>
        </w:rPr>
        <w:t xml:space="preserve">Redlining in Boston: </w:t>
      </w:r>
      <w:r w:rsidR="009A0A85" w:rsidRPr="00473C61">
        <w:rPr>
          <w:rFonts w:ascii="Times New Roman" w:hAnsi="Times New Roman"/>
          <w:sz w:val="24"/>
          <w:szCs w:val="24"/>
        </w:rPr>
        <w:t>do mortgage lenders discriminate against neighborhoods</w:t>
      </w:r>
      <w:r w:rsidR="00CD25A9" w:rsidRPr="00473C61">
        <w:rPr>
          <w:rFonts w:ascii="Times New Roman" w:hAnsi="Times New Roman"/>
          <w:sz w:val="24"/>
          <w:szCs w:val="24"/>
        </w:rPr>
        <w:t>?</w:t>
      </w:r>
      <w:r w:rsidRPr="00473C61">
        <w:rPr>
          <w:rFonts w:ascii="Times New Roman" w:hAnsi="Times New Roman"/>
          <w:sz w:val="24"/>
          <w:szCs w:val="24"/>
        </w:rPr>
        <w:t xml:space="preserve"> </w:t>
      </w:r>
      <w:r w:rsidR="00A410B2" w:rsidRPr="00473C61">
        <w:rPr>
          <w:rFonts w:ascii="Times New Roman" w:hAnsi="Times New Roman"/>
          <w:sz w:val="24"/>
          <w:szCs w:val="24"/>
        </w:rPr>
        <w:t>Quarterly Journal of Economics</w:t>
      </w:r>
      <w:r w:rsidR="009A0A85" w:rsidRPr="00473C61">
        <w:rPr>
          <w:rFonts w:ascii="Times New Roman" w:hAnsi="Times New Roman"/>
          <w:sz w:val="24"/>
          <w:szCs w:val="24"/>
        </w:rPr>
        <w:t xml:space="preserve"> </w:t>
      </w:r>
      <w:r w:rsidR="00CD25A9" w:rsidRPr="00473C61">
        <w:rPr>
          <w:rFonts w:ascii="Times New Roman" w:hAnsi="Times New Roman"/>
          <w:sz w:val="24"/>
          <w:szCs w:val="24"/>
        </w:rPr>
        <w:t>111</w:t>
      </w:r>
      <w:r w:rsidRPr="00473C61">
        <w:rPr>
          <w:rFonts w:ascii="Times New Roman" w:hAnsi="Times New Roman"/>
          <w:sz w:val="24"/>
          <w:szCs w:val="24"/>
        </w:rPr>
        <w:t>,</w:t>
      </w:r>
      <w:r w:rsidR="00CD25A9" w:rsidRPr="00473C61">
        <w:rPr>
          <w:rFonts w:ascii="Times New Roman" w:hAnsi="Times New Roman"/>
          <w:sz w:val="24"/>
          <w:szCs w:val="24"/>
        </w:rPr>
        <w:t xml:space="preserve"> </w:t>
      </w:r>
      <w:r w:rsidRPr="00473C61">
        <w:rPr>
          <w:rFonts w:ascii="Times New Roman" w:hAnsi="Times New Roman"/>
          <w:sz w:val="24"/>
          <w:szCs w:val="24"/>
        </w:rPr>
        <w:t>1049-</w:t>
      </w:r>
      <w:r w:rsidR="00203B60" w:rsidRPr="00473C61">
        <w:rPr>
          <w:rFonts w:ascii="Times New Roman" w:hAnsi="Times New Roman"/>
          <w:sz w:val="24"/>
          <w:szCs w:val="24"/>
        </w:rPr>
        <w:t>10</w:t>
      </w:r>
      <w:r w:rsidRPr="00473C61">
        <w:rPr>
          <w:rFonts w:ascii="Times New Roman" w:hAnsi="Times New Roman"/>
          <w:sz w:val="24"/>
          <w:szCs w:val="24"/>
        </w:rPr>
        <w:t>79.</w:t>
      </w:r>
    </w:p>
    <w:p w:rsidR="00480851" w:rsidRPr="00473C61" w:rsidRDefault="00851247" w:rsidP="00311CEB">
      <w:pPr>
        <w:spacing w:before="240" w:after="0" w:line="240" w:lineRule="auto"/>
        <w:jc w:val="both"/>
        <w:rPr>
          <w:rFonts w:ascii="Times New Roman" w:hAnsi="Times New Roman"/>
          <w:sz w:val="24"/>
          <w:szCs w:val="24"/>
        </w:rPr>
      </w:pPr>
      <w:r w:rsidRPr="00473C61">
        <w:rPr>
          <w:rFonts w:ascii="Times New Roman" w:hAnsi="Times New Roman"/>
          <w:sz w:val="24"/>
          <w:szCs w:val="24"/>
        </w:rPr>
        <w:t>Williams</w:t>
      </w:r>
      <w:r w:rsidR="00CD25A9" w:rsidRPr="00473C61">
        <w:rPr>
          <w:rFonts w:ascii="Times New Roman" w:hAnsi="Times New Roman"/>
          <w:sz w:val="24"/>
          <w:szCs w:val="24"/>
        </w:rPr>
        <w:t>,</w:t>
      </w:r>
      <w:r w:rsidRPr="00473C61">
        <w:rPr>
          <w:rFonts w:ascii="Times New Roman" w:hAnsi="Times New Roman"/>
          <w:sz w:val="24"/>
          <w:szCs w:val="24"/>
        </w:rPr>
        <w:t xml:space="preserve"> R</w:t>
      </w:r>
      <w:r w:rsidR="00CD25A9" w:rsidRPr="00473C61">
        <w:rPr>
          <w:rFonts w:ascii="Times New Roman" w:hAnsi="Times New Roman"/>
          <w:sz w:val="24"/>
          <w:szCs w:val="24"/>
        </w:rPr>
        <w:t>.</w:t>
      </w:r>
      <w:r w:rsidRPr="00473C61">
        <w:rPr>
          <w:rFonts w:ascii="Times New Roman" w:hAnsi="Times New Roman"/>
          <w:sz w:val="24"/>
          <w:szCs w:val="24"/>
        </w:rPr>
        <w:t>A</w:t>
      </w:r>
      <w:r w:rsidR="00CD25A9" w:rsidRPr="00473C61">
        <w:rPr>
          <w:rFonts w:ascii="Times New Roman" w:hAnsi="Times New Roman"/>
          <w:sz w:val="24"/>
          <w:szCs w:val="24"/>
        </w:rPr>
        <w:t>.</w:t>
      </w:r>
      <w:r w:rsidRPr="00473C61">
        <w:rPr>
          <w:rFonts w:ascii="Times New Roman" w:hAnsi="Times New Roman"/>
          <w:sz w:val="24"/>
          <w:szCs w:val="24"/>
        </w:rPr>
        <w:t>, Nesiba</w:t>
      </w:r>
      <w:r w:rsidR="00CD25A9" w:rsidRPr="00473C61">
        <w:rPr>
          <w:rFonts w:ascii="Times New Roman" w:hAnsi="Times New Roman"/>
          <w:sz w:val="24"/>
          <w:szCs w:val="24"/>
        </w:rPr>
        <w:t>,</w:t>
      </w:r>
      <w:r w:rsidRPr="00473C61">
        <w:rPr>
          <w:rFonts w:ascii="Times New Roman" w:hAnsi="Times New Roman"/>
          <w:sz w:val="24"/>
          <w:szCs w:val="24"/>
        </w:rPr>
        <w:t xml:space="preserve"> R</w:t>
      </w:r>
      <w:r w:rsidR="00CD25A9" w:rsidRPr="00473C61">
        <w:rPr>
          <w:rFonts w:ascii="Times New Roman" w:hAnsi="Times New Roman"/>
          <w:sz w:val="24"/>
          <w:szCs w:val="24"/>
        </w:rPr>
        <w:t>.</w:t>
      </w:r>
      <w:r w:rsidR="00203B60" w:rsidRPr="00473C61">
        <w:rPr>
          <w:rFonts w:ascii="Times New Roman" w:hAnsi="Times New Roman"/>
          <w:sz w:val="24"/>
          <w:szCs w:val="24"/>
        </w:rPr>
        <w:t>,</w:t>
      </w:r>
      <w:r w:rsidRPr="00473C61">
        <w:rPr>
          <w:rFonts w:ascii="Times New Roman" w:hAnsi="Times New Roman"/>
          <w:sz w:val="24"/>
          <w:szCs w:val="24"/>
        </w:rPr>
        <w:t xml:space="preserve"> McConnell</w:t>
      </w:r>
      <w:r w:rsidR="00CD25A9" w:rsidRPr="00473C61">
        <w:rPr>
          <w:rFonts w:ascii="Times New Roman" w:hAnsi="Times New Roman"/>
          <w:sz w:val="24"/>
          <w:szCs w:val="24"/>
        </w:rPr>
        <w:t>,</w:t>
      </w:r>
      <w:r w:rsidRPr="00473C61">
        <w:rPr>
          <w:rFonts w:ascii="Times New Roman" w:hAnsi="Times New Roman"/>
          <w:sz w:val="24"/>
          <w:szCs w:val="24"/>
        </w:rPr>
        <w:t xml:space="preserve"> E</w:t>
      </w:r>
      <w:r w:rsidR="00CD25A9" w:rsidRPr="00473C61">
        <w:rPr>
          <w:rFonts w:ascii="Times New Roman" w:hAnsi="Times New Roman"/>
          <w:sz w:val="24"/>
          <w:szCs w:val="24"/>
        </w:rPr>
        <w:t>.</w:t>
      </w:r>
      <w:r w:rsidRPr="00473C61">
        <w:rPr>
          <w:rFonts w:ascii="Times New Roman" w:hAnsi="Times New Roman"/>
          <w:sz w:val="24"/>
          <w:szCs w:val="24"/>
        </w:rPr>
        <w:t>D.</w:t>
      </w:r>
      <w:r w:rsidR="00203B60" w:rsidRPr="00473C61">
        <w:rPr>
          <w:rFonts w:ascii="Times New Roman" w:hAnsi="Times New Roman"/>
          <w:sz w:val="24"/>
          <w:szCs w:val="24"/>
        </w:rPr>
        <w:t>,</w:t>
      </w:r>
      <w:r w:rsidRPr="00473C61">
        <w:rPr>
          <w:rFonts w:ascii="Times New Roman" w:hAnsi="Times New Roman"/>
          <w:sz w:val="24"/>
          <w:szCs w:val="24"/>
        </w:rPr>
        <w:t xml:space="preserve"> 2005. The changing face of inequality in home mortgage lending</w:t>
      </w:r>
      <w:r w:rsidR="00203B60" w:rsidRPr="00473C61">
        <w:rPr>
          <w:rFonts w:ascii="Times New Roman" w:hAnsi="Times New Roman"/>
          <w:sz w:val="24"/>
          <w:szCs w:val="24"/>
        </w:rPr>
        <w:t>.</w:t>
      </w:r>
      <w:r w:rsidRPr="00473C61">
        <w:rPr>
          <w:rFonts w:ascii="Times New Roman" w:hAnsi="Times New Roman"/>
          <w:sz w:val="24"/>
          <w:szCs w:val="24"/>
        </w:rPr>
        <w:t xml:space="preserve"> </w:t>
      </w:r>
      <w:r w:rsidR="00A410B2" w:rsidRPr="00473C61">
        <w:rPr>
          <w:rFonts w:ascii="Times New Roman" w:hAnsi="Times New Roman"/>
          <w:sz w:val="24"/>
          <w:szCs w:val="24"/>
        </w:rPr>
        <w:t>Social Problems</w:t>
      </w:r>
      <w:r w:rsidR="009A0A85" w:rsidRPr="00473C61">
        <w:rPr>
          <w:rFonts w:ascii="Times New Roman" w:hAnsi="Times New Roman"/>
          <w:sz w:val="24"/>
          <w:szCs w:val="24"/>
        </w:rPr>
        <w:t xml:space="preserve"> </w:t>
      </w:r>
      <w:r w:rsidRPr="00473C61">
        <w:rPr>
          <w:rFonts w:ascii="Times New Roman" w:hAnsi="Times New Roman"/>
          <w:sz w:val="24"/>
          <w:szCs w:val="24"/>
        </w:rPr>
        <w:t>52</w:t>
      </w:r>
      <w:r w:rsidR="00CD25A9" w:rsidRPr="00473C61">
        <w:rPr>
          <w:rFonts w:ascii="Times New Roman" w:hAnsi="Times New Roman"/>
          <w:sz w:val="24"/>
          <w:szCs w:val="24"/>
        </w:rPr>
        <w:t xml:space="preserve">, </w:t>
      </w:r>
      <w:r w:rsidR="00203B60" w:rsidRPr="00473C61">
        <w:rPr>
          <w:rFonts w:ascii="Times New Roman" w:hAnsi="Times New Roman"/>
          <w:sz w:val="24"/>
          <w:szCs w:val="24"/>
        </w:rPr>
        <w:t>181-</w:t>
      </w:r>
      <w:r w:rsidRPr="00473C61">
        <w:rPr>
          <w:rFonts w:ascii="Times New Roman" w:hAnsi="Times New Roman"/>
          <w:sz w:val="24"/>
          <w:szCs w:val="24"/>
        </w:rPr>
        <w:t>208</w:t>
      </w:r>
      <w:r w:rsidR="009A0A85" w:rsidRPr="00473C61">
        <w:rPr>
          <w:rFonts w:ascii="Times New Roman" w:hAnsi="Times New Roman"/>
          <w:sz w:val="24"/>
          <w:szCs w:val="24"/>
        </w:rPr>
        <w:t>.</w:t>
      </w:r>
    </w:p>
    <w:p w:rsidR="00480851" w:rsidRPr="00473C61" w:rsidRDefault="00480851" w:rsidP="00311CEB">
      <w:pPr>
        <w:spacing w:before="240" w:after="0" w:line="240" w:lineRule="auto"/>
        <w:jc w:val="both"/>
        <w:rPr>
          <w:rFonts w:ascii="Times New Roman" w:hAnsi="Times New Roman"/>
          <w:sz w:val="24"/>
          <w:szCs w:val="24"/>
        </w:rPr>
      </w:pPr>
      <w:r w:rsidRPr="00473C61">
        <w:rPr>
          <w:rFonts w:ascii="Times New Roman" w:hAnsi="Times New Roman"/>
          <w:sz w:val="24"/>
          <w:szCs w:val="24"/>
        </w:rPr>
        <w:t>World Bank, 2007. Finance for All? Policies and Pitfalls in Expanding Access. Washington</w:t>
      </w:r>
      <w:r w:rsidR="00262056" w:rsidRPr="00473C61">
        <w:rPr>
          <w:rFonts w:ascii="Times New Roman" w:hAnsi="Times New Roman"/>
          <w:sz w:val="24"/>
          <w:szCs w:val="24"/>
        </w:rPr>
        <w:t xml:space="preserve"> DC</w:t>
      </w:r>
      <w:r w:rsidRPr="00473C61">
        <w:rPr>
          <w:rFonts w:ascii="Times New Roman" w:hAnsi="Times New Roman"/>
          <w:sz w:val="24"/>
          <w:szCs w:val="24"/>
        </w:rPr>
        <w:t>: World Bank.</w:t>
      </w:r>
    </w:p>
    <w:p w:rsidR="003733BE" w:rsidRPr="00473C61" w:rsidRDefault="00E0741B" w:rsidP="00F80D29">
      <w:pPr>
        <w:spacing w:before="240" w:after="0" w:line="240" w:lineRule="auto"/>
        <w:jc w:val="both"/>
        <w:rPr>
          <w:rFonts w:ascii="Times New Roman" w:hAnsi="Times New Roman"/>
          <w:sz w:val="24"/>
          <w:szCs w:val="24"/>
        </w:rPr>
      </w:pPr>
      <w:r w:rsidRPr="00473C61">
        <w:rPr>
          <w:rFonts w:ascii="Times New Roman" w:hAnsi="Times New Roman"/>
          <w:sz w:val="24"/>
          <w:szCs w:val="24"/>
        </w:rPr>
        <w:t xml:space="preserve">World Bank. 2013. </w:t>
      </w:r>
      <w:r w:rsidRPr="00473C61">
        <w:rPr>
          <w:rFonts w:ascii="Times New Roman" w:hAnsi="Times New Roman"/>
        </w:rPr>
        <w:t>South Africa Economic Update: Focus on Financial Inclusion</w:t>
      </w:r>
      <w:r w:rsidRPr="00473C61">
        <w:rPr>
          <w:rFonts w:ascii="Times New Roman" w:hAnsi="Times New Roman"/>
          <w:sz w:val="24"/>
          <w:szCs w:val="24"/>
        </w:rPr>
        <w:t>. Washington, DC. World Bank</w:t>
      </w:r>
    </w:p>
    <w:p w:rsidR="003733BE" w:rsidRPr="00473C61" w:rsidRDefault="00262056" w:rsidP="00F80D29">
      <w:pPr>
        <w:spacing w:before="240" w:after="0" w:line="240" w:lineRule="auto"/>
        <w:jc w:val="both"/>
        <w:rPr>
          <w:rFonts w:ascii="Times New Roman" w:hAnsi="Times New Roman"/>
          <w:sz w:val="24"/>
          <w:szCs w:val="24"/>
        </w:rPr>
      </w:pPr>
      <w:r w:rsidRPr="00473C61">
        <w:rPr>
          <w:rFonts w:ascii="Times New Roman" w:hAnsi="Times New Roman"/>
          <w:sz w:val="24"/>
          <w:szCs w:val="24"/>
        </w:rPr>
        <w:t>World Bank, 2014, Global Financial Development Report, Washington DC: World Bank</w:t>
      </w:r>
    </w:p>
    <w:p w:rsidR="00480851" w:rsidRPr="00473C61" w:rsidRDefault="00480851" w:rsidP="00311CEB">
      <w:pPr>
        <w:spacing w:before="240" w:after="0" w:line="240" w:lineRule="auto"/>
        <w:jc w:val="both"/>
        <w:rPr>
          <w:rFonts w:ascii="Times New Roman" w:hAnsi="Times New Roman"/>
        </w:rPr>
      </w:pPr>
      <w:r w:rsidRPr="00473C61">
        <w:rPr>
          <w:rFonts w:ascii="Times New Roman" w:hAnsi="Times New Roman"/>
          <w:sz w:val="24"/>
          <w:szCs w:val="24"/>
        </w:rPr>
        <w:lastRenderedPageBreak/>
        <w:t>Yezer, A.M.J., Phillips, R.F., Trost, R.P., 1994. Bias in estimates of discrimination and default in mortgage lending: the effects of simultaneity and self-selection. Journal of Real Estate Finance and Economics 9, 196-215.</w:t>
      </w:r>
    </w:p>
    <w:p w:rsidR="00480851" w:rsidRPr="00473C61" w:rsidRDefault="00432AB0">
      <w:pPr>
        <w:spacing w:after="0" w:line="240" w:lineRule="auto"/>
        <w:rPr>
          <w:rFonts w:ascii="Times New Roman" w:hAnsi="Times New Roman"/>
          <w:sz w:val="24"/>
          <w:szCs w:val="24"/>
        </w:rPr>
      </w:pPr>
      <w:r w:rsidRPr="00473C61">
        <w:rPr>
          <w:rFonts w:ascii="Times New Roman" w:hAnsi="Times New Roman"/>
          <w:sz w:val="24"/>
          <w:szCs w:val="24"/>
        </w:rPr>
        <w:t xml:space="preserve"> </w:t>
      </w:r>
    </w:p>
    <w:p w:rsidR="00C521B8" w:rsidRPr="00F80D29" w:rsidRDefault="00480851" w:rsidP="00C521B8">
      <w:pPr>
        <w:spacing w:after="0" w:line="240" w:lineRule="auto"/>
        <w:ind w:left="-851"/>
        <w:rPr>
          <w:rFonts w:ascii="Times New Roman" w:hAnsi="Times New Roman"/>
          <w:sz w:val="24"/>
          <w:szCs w:val="24"/>
        </w:rPr>
      </w:pPr>
      <w:r w:rsidRPr="00F80D29">
        <w:rPr>
          <w:rFonts w:ascii="Times New Roman" w:hAnsi="Times New Roman"/>
          <w:sz w:val="24"/>
          <w:szCs w:val="24"/>
        </w:rPr>
        <w:br w:type="page"/>
      </w:r>
      <w:r w:rsidR="00D827DA" w:rsidRPr="00D827DA">
        <w:rPr>
          <w:noProof/>
          <w:szCs w:val="24"/>
          <w:lang w:val="it-IT" w:eastAsia="it-IT"/>
        </w:rPr>
        <w:lastRenderedPageBreak/>
        <w:drawing>
          <wp:inline distT="0" distB="0" distL="0" distR="0">
            <wp:extent cx="5731510" cy="5671396"/>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731510" cy="5671396"/>
                    </a:xfrm>
                    <a:prstGeom prst="rect">
                      <a:avLst/>
                    </a:prstGeom>
                    <a:noFill/>
                    <a:ln w="9525">
                      <a:noFill/>
                      <a:miter lim="800000"/>
                      <a:headEnd/>
                      <a:tailEnd/>
                    </a:ln>
                  </pic:spPr>
                </pic:pic>
              </a:graphicData>
            </a:graphic>
          </wp:inline>
        </w:drawing>
      </w:r>
      <w:r w:rsidR="00415F26" w:rsidRPr="00415F26">
        <w:rPr>
          <w:noProof/>
          <w:szCs w:val="24"/>
          <w:lang w:val="it-IT" w:eastAsia="it-IT"/>
        </w:rPr>
        <w:lastRenderedPageBreak/>
        <w:drawing>
          <wp:inline distT="0" distB="0" distL="0" distR="0">
            <wp:extent cx="6873920" cy="7467601"/>
            <wp:effectExtent l="19050" t="0" r="313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873920" cy="7467601"/>
                    </a:xfrm>
                    <a:prstGeom prst="rect">
                      <a:avLst/>
                    </a:prstGeom>
                    <a:noFill/>
                    <a:ln w="9525">
                      <a:noFill/>
                      <a:miter lim="800000"/>
                      <a:headEnd/>
                      <a:tailEnd/>
                    </a:ln>
                  </pic:spPr>
                </pic:pic>
              </a:graphicData>
            </a:graphic>
          </wp:inline>
        </w:drawing>
      </w:r>
    </w:p>
    <w:p w:rsidR="00AC10EA" w:rsidRPr="00F80D29" w:rsidRDefault="00415F26" w:rsidP="00AC10EA">
      <w:pPr>
        <w:spacing w:after="0" w:line="240" w:lineRule="auto"/>
        <w:ind w:left="-851"/>
        <w:jc w:val="center"/>
        <w:rPr>
          <w:rFonts w:ascii="Times New Roman" w:hAnsi="Times New Roman"/>
          <w:b/>
          <w:sz w:val="24"/>
          <w:szCs w:val="24"/>
        </w:rPr>
      </w:pPr>
      <w:r w:rsidRPr="00415F26">
        <w:rPr>
          <w:noProof/>
          <w:szCs w:val="24"/>
          <w:lang w:val="it-IT" w:eastAsia="it-IT"/>
        </w:rPr>
        <w:lastRenderedPageBreak/>
        <w:drawing>
          <wp:inline distT="0" distB="0" distL="0" distR="0">
            <wp:extent cx="4627634" cy="8818881"/>
            <wp:effectExtent l="19050" t="0" r="1516"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4627634" cy="8818881"/>
                    </a:xfrm>
                    <a:prstGeom prst="rect">
                      <a:avLst/>
                    </a:prstGeom>
                    <a:noFill/>
                    <a:ln w="9525">
                      <a:noFill/>
                      <a:miter lim="800000"/>
                      <a:headEnd/>
                      <a:tailEnd/>
                    </a:ln>
                  </pic:spPr>
                </pic:pic>
              </a:graphicData>
            </a:graphic>
          </wp:inline>
        </w:drawing>
      </w:r>
    </w:p>
    <w:p w:rsidR="00AC10EA" w:rsidRPr="00F80D29" w:rsidRDefault="00415F26" w:rsidP="007277D4">
      <w:pPr>
        <w:spacing w:after="0" w:line="240" w:lineRule="auto"/>
        <w:ind w:left="-851"/>
        <w:rPr>
          <w:rFonts w:ascii="Times New Roman" w:hAnsi="Times New Roman"/>
          <w:b/>
          <w:sz w:val="24"/>
          <w:szCs w:val="24"/>
        </w:rPr>
      </w:pPr>
      <w:r w:rsidRPr="00415F26">
        <w:rPr>
          <w:noProof/>
          <w:szCs w:val="24"/>
          <w:lang w:val="it-IT" w:eastAsia="it-IT"/>
        </w:rPr>
        <w:lastRenderedPageBreak/>
        <w:drawing>
          <wp:inline distT="0" distB="0" distL="0" distR="0">
            <wp:extent cx="6742667" cy="3298698"/>
            <wp:effectExtent l="19050" t="0" r="1033"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6742667" cy="3298698"/>
                    </a:xfrm>
                    <a:prstGeom prst="rect">
                      <a:avLst/>
                    </a:prstGeom>
                    <a:noFill/>
                    <a:ln w="9525">
                      <a:noFill/>
                      <a:miter lim="800000"/>
                      <a:headEnd/>
                      <a:tailEnd/>
                    </a:ln>
                  </pic:spPr>
                </pic:pic>
              </a:graphicData>
            </a:graphic>
          </wp:inline>
        </w:drawing>
      </w:r>
    </w:p>
    <w:p w:rsidR="00AC10EA" w:rsidRPr="00F80D29" w:rsidRDefault="00AC10EA">
      <w:pPr>
        <w:spacing w:after="0" w:line="240" w:lineRule="auto"/>
        <w:rPr>
          <w:rFonts w:ascii="Times New Roman" w:hAnsi="Times New Roman"/>
          <w:b/>
          <w:sz w:val="24"/>
          <w:szCs w:val="24"/>
        </w:rPr>
      </w:pPr>
    </w:p>
    <w:p w:rsidR="00AC10EA" w:rsidRPr="00F80D29" w:rsidRDefault="00AC10EA">
      <w:pPr>
        <w:spacing w:after="0" w:line="240" w:lineRule="auto"/>
        <w:rPr>
          <w:rFonts w:ascii="Times New Roman" w:hAnsi="Times New Roman"/>
          <w:b/>
          <w:sz w:val="24"/>
          <w:szCs w:val="24"/>
        </w:rPr>
      </w:pPr>
    </w:p>
    <w:p w:rsidR="00AC10EA" w:rsidRPr="00F80D29" w:rsidRDefault="00AC10EA">
      <w:pPr>
        <w:spacing w:after="0" w:line="240" w:lineRule="auto"/>
        <w:rPr>
          <w:rFonts w:ascii="Times New Roman" w:hAnsi="Times New Roman"/>
          <w:b/>
          <w:sz w:val="24"/>
          <w:szCs w:val="24"/>
        </w:rPr>
        <w:sectPr w:rsidR="00AC10EA" w:rsidRPr="00F80D29" w:rsidSect="000079C8">
          <w:footerReference w:type="default" r:id="rId16"/>
          <w:pgSz w:w="11906" w:h="16838"/>
          <w:pgMar w:top="1440" w:right="1440" w:bottom="1440" w:left="1440" w:header="708" w:footer="708" w:gutter="0"/>
          <w:cols w:space="708"/>
          <w:titlePg/>
          <w:docGrid w:linePitch="360"/>
        </w:sectPr>
      </w:pPr>
    </w:p>
    <w:p w:rsidR="00AC10EA" w:rsidRPr="00F80D29" w:rsidRDefault="00AC10EA">
      <w:pPr>
        <w:spacing w:after="0" w:line="240" w:lineRule="auto"/>
        <w:rPr>
          <w:rFonts w:ascii="Times New Roman" w:hAnsi="Times New Roman"/>
          <w:b/>
          <w:sz w:val="24"/>
          <w:szCs w:val="24"/>
        </w:rPr>
      </w:pPr>
      <w:r w:rsidRPr="00F80D29">
        <w:rPr>
          <w:rFonts w:ascii="Times New Roman" w:hAnsi="Times New Roman"/>
          <w:b/>
          <w:sz w:val="24"/>
          <w:szCs w:val="24"/>
        </w:rPr>
        <w:lastRenderedPageBreak/>
        <w:br w:type="page"/>
      </w:r>
    </w:p>
    <w:p w:rsidR="00AC10EA" w:rsidRPr="00F80D29" w:rsidRDefault="00AC10EA">
      <w:pPr>
        <w:spacing w:after="0" w:line="240" w:lineRule="auto"/>
        <w:rPr>
          <w:rFonts w:ascii="Times New Roman" w:hAnsi="Times New Roman"/>
          <w:b/>
          <w:sz w:val="24"/>
          <w:szCs w:val="24"/>
        </w:rPr>
        <w:sectPr w:rsidR="00AC10EA" w:rsidRPr="00F80D29" w:rsidSect="00AC10EA">
          <w:type w:val="continuous"/>
          <w:pgSz w:w="11906" w:h="16838"/>
          <w:pgMar w:top="1440" w:right="1440" w:bottom="1440" w:left="1440" w:header="708" w:footer="708" w:gutter="0"/>
          <w:cols w:space="708"/>
          <w:titlePg/>
          <w:docGrid w:linePitch="360"/>
        </w:sectPr>
      </w:pPr>
    </w:p>
    <w:p w:rsidR="00AC10EA" w:rsidRPr="00F80D29" w:rsidRDefault="00AC10EA" w:rsidP="007277D4">
      <w:pPr>
        <w:spacing w:after="0" w:line="240" w:lineRule="auto"/>
        <w:ind w:left="-851"/>
        <w:rPr>
          <w:rFonts w:ascii="Times New Roman" w:hAnsi="Times New Roman"/>
          <w:b/>
          <w:sz w:val="24"/>
          <w:szCs w:val="24"/>
        </w:rPr>
      </w:pPr>
      <w:r w:rsidRPr="00F80D29">
        <w:rPr>
          <w:rFonts w:ascii="Times New Roman" w:hAnsi="Times New Roman"/>
          <w:noProof/>
          <w:szCs w:val="24"/>
          <w:lang w:val="it-IT" w:eastAsia="it-IT"/>
        </w:rPr>
        <w:lastRenderedPageBreak/>
        <w:drawing>
          <wp:inline distT="0" distB="0" distL="0" distR="0">
            <wp:extent cx="9816711" cy="4298738"/>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9816711" cy="4298738"/>
                    </a:xfrm>
                    <a:prstGeom prst="rect">
                      <a:avLst/>
                    </a:prstGeom>
                    <a:noFill/>
                    <a:ln w="9525">
                      <a:noFill/>
                      <a:miter lim="800000"/>
                      <a:headEnd/>
                      <a:tailEnd/>
                    </a:ln>
                  </pic:spPr>
                </pic:pic>
              </a:graphicData>
            </a:graphic>
          </wp:inline>
        </w:drawing>
      </w:r>
    </w:p>
    <w:p w:rsidR="00AC10EA" w:rsidRPr="00F80D29" w:rsidRDefault="00AC10EA">
      <w:pPr>
        <w:spacing w:after="0" w:line="240" w:lineRule="auto"/>
        <w:rPr>
          <w:rFonts w:ascii="Times New Roman" w:hAnsi="Times New Roman"/>
          <w:b/>
          <w:sz w:val="24"/>
          <w:szCs w:val="24"/>
        </w:rPr>
      </w:pPr>
      <w:r w:rsidRPr="00F80D29">
        <w:rPr>
          <w:rFonts w:ascii="Times New Roman" w:hAnsi="Times New Roman"/>
          <w:b/>
          <w:sz w:val="24"/>
          <w:szCs w:val="24"/>
        </w:rPr>
        <w:br w:type="page"/>
      </w:r>
    </w:p>
    <w:p w:rsidR="00AC10EA" w:rsidRPr="00F80D29" w:rsidRDefault="00415F26" w:rsidP="007277D4">
      <w:pPr>
        <w:spacing w:after="0" w:line="240" w:lineRule="auto"/>
        <w:ind w:left="-851"/>
        <w:rPr>
          <w:rFonts w:ascii="Times New Roman" w:hAnsi="Times New Roman"/>
          <w:b/>
          <w:sz w:val="24"/>
          <w:szCs w:val="24"/>
        </w:rPr>
      </w:pPr>
      <w:r w:rsidRPr="00415F26">
        <w:rPr>
          <w:noProof/>
          <w:szCs w:val="24"/>
          <w:lang w:val="it-IT" w:eastAsia="it-IT"/>
        </w:rPr>
        <w:lastRenderedPageBreak/>
        <w:drawing>
          <wp:inline distT="0" distB="0" distL="0" distR="0">
            <wp:extent cx="9697138" cy="5006468"/>
            <wp:effectExtent l="1905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9697138" cy="5006468"/>
                    </a:xfrm>
                    <a:prstGeom prst="rect">
                      <a:avLst/>
                    </a:prstGeom>
                    <a:noFill/>
                    <a:ln w="9525">
                      <a:noFill/>
                      <a:miter lim="800000"/>
                      <a:headEnd/>
                      <a:tailEnd/>
                    </a:ln>
                  </pic:spPr>
                </pic:pic>
              </a:graphicData>
            </a:graphic>
          </wp:inline>
        </w:drawing>
      </w:r>
    </w:p>
    <w:p w:rsidR="00AC10EA" w:rsidRPr="00F80D29" w:rsidRDefault="00AC10EA">
      <w:pPr>
        <w:spacing w:after="0" w:line="240" w:lineRule="auto"/>
        <w:rPr>
          <w:rFonts w:ascii="Times New Roman" w:hAnsi="Times New Roman"/>
          <w:b/>
          <w:sz w:val="24"/>
          <w:szCs w:val="24"/>
        </w:rPr>
      </w:pPr>
      <w:r w:rsidRPr="00F80D29">
        <w:rPr>
          <w:rFonts w:ascii="Times New Roman" w:hAnsi="Times New Roman"/>
          <w:b/>
          <w:sz w:val="24"/>
          <w:szCs w:val="24"/>
        </w:rPr>
        <w:br w:type="page"/>
      </w:r>
    </w:p>
    <w:p w:rsidR="00AC10EA" w:rsidRPr="00F80D29" w:rsidRDefault="00AC10EA">
      <w:pPr>
        <w:spacing w:after="0" w:line="240" w:lineRule="auto"/>
        <w:rPr>
          <w:rFonts w:ascii="Times New Roman" w:hAnsi="Times New Roman"/>
          <w:b/>
          <w:sz w:val="24"/>
          <w:szCs w:val="24"/>
        </w:rPr>
        <w:sectPr w:rsidR="00AC10EA" w:rsidRPr="00F80D29" w:rsidSect="00AC10EA">
          <w:pgSz w:w="16838" w:h="11906" w:orient="landscape"/>
          <w:pgMar w:top="1440" w:right="1440" w:bottom="1440" w:left="1440" w:header="708" w:footer="708" w:gutter="0"/>
          <w:cols w:space="708"/>
          <w:titlePg/>
          <w:docGrid w:linePitch="360"/>
        </w:sectPr>
      </w:pPr>
    </w:p>
    <w:p w:rsidR="00AC10EA" w:rsidRPr="00F80D29" w:rsidRDefault="00311CEB" w:rsidP="00AC10EA">
      <w:pPr>
        <w:spacing w:after="0" w:line="240" w:lineRule="auto"/>
        <w:ind w:left="-709"/>
        <w:rPr>
          <w:rFonts w:ascii="Times New Roman" w:hAnsi="Times New Roman"/>
          <w:b/>
          <w:sz w:val="24"/>
          <w:szCs w:val="24"/>
        </w:rPr>
      </w:pPr>
      <w:r w:rsidRPr="00F80D29">
        <w:rPr>
          <w:rFonts w:ascii="Times New Roman" w:hAnsi="Times New Roman"/>
          <w:noProof/>
          <w:szCs w:val="24"/>
          <w:lang w:val="it-IT" w:eastAsia="it-IT"/>
        </w:rPr>
        <w:lastRenderedPageBreak/>
        <w:drawing>
          <wp:inline distT="0" distB="0" distL="0" distR="0">
            <wp:extent cx="6463938" cy="829183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6463938" cy="8291839"/>
                    </a:xfrm>
                    <a:prstGeom prst="rect">
                      <a:avLst/>
                    </a:prstGeom>
                    <a:noFill/>
                    <a:ln w="9525">
                      <a:noFill/>
                      <a:miter lim="800000"/>
                      <a:headEnd/>
                      <a:tailEnd/>
                    </a:ln>
                  </pic:spPr>
                </pic:pic>
              </a:graphicData>
            </a:graphic>
          </wp:inline>
        </w:drawing>
      </w:r>
    </w:p>
    <w:p w:rsidR="007915E5" w:rsidRPr="00F80D29" w:rsidRDefault="007915E5" w:rsidP="00AC10EA">
      <w:pPr>
        <w:spacing w:after="0" w:line="240" w:lineRule="auto"/>
        <w:ind w:left="-851"/>
        <w:jc w:val="center"/>
        <w:rPr>
          <w:rFonts w:ascii="Times New Roman" w:hAnsi="Times New Roman"/>
          <w:b/>
          <w:sz w:val="24"/>
          <w:szCs w:val="24"/>
        </w:rPr>
      </w:pPr>
    </w:p>
    <w:sectPr w:rsidR="007915E5" w:rsidRPr="00F80D29" w:rsidSect="00AC10EA">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2E0" w:rsidRDefault="001972E0" w:rsidP="001E2BD4">
      <w:pPr>
        <w:spacing w:after="0" w:line="240" w:lineRule="auto"/>
      </w:pPr>
      <w:r>
        <w:separator/>
      </w:r>
    </w:p>
  </w:endnote>
  <w:endnote w:type="continuationSeparator" w:id="0">
    <w:p w:rsidR="001972E0" w:rsidRDefault="001972E0" w:rsidP="001E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456" w:rsidRDefault="001972E0">
    <w:pPr>
      <w:pStyle w:val="Pidipagina"/>
      <w:jc w:val="right"/>
    </w:pPr>
    <w:r>
      <w:fldChar w:fldCharType="begin"/>
    </w:r>
    <w:r>
      <w:instrText xml:space="preserve"> PAGE   \* MERGEFORMAT </w:instrText>
    </w:r>
    <w:r>
      <w:fldChar w:fldCharType="separate"/>
    </w:r>
    <w:r w:rsidR="00ED235E">
      <w:rPr>
        <w:noProof/>
      </w:rPr>
      <w:t>32</w:t>
    </w:r>
    <w:r>
      <w:rPr>
        <w:noProof/>
      </w:rPr>
      <w:fldChar w:fldCharType="end"/>
    </w:r>
  </w:p>
  <w:p w:rsidR="00B22456" w:rsidRDefault="00B2245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2E0" w:rsidRDefault="001972E0" w:rsidP="001E2BD4">
      <w:pPr>
        <w:spacing w:after="0" w:line="240" w:lineRule="auto"/>
      </w:pPr>
      <w:r>
        <w:separator/>
      </w:r>
    </w:p>
  </w:footnote>
  <w:footnote w:type="continuationSeparator" w:id="0">
    <w:p w:rsidR="001972E0" w:rsidRDefault="001972E0" w:rsidP="001E2BD4">
      <w:pPr>
        <w:spacing w:after="0" w:line="240" w:lineRule="auto"/>
      </w:pPr>
      <w:r>
        <w:continuationSeparator/>
      </w:r>
    </w:p>
  </w:footnote>
  <w:footnote w:id="1">
    <w:p w:rsidR="00B22456" w:rsidRDefault="00B22456" w:rsidP="007C3488">
      <w:pPr>
        <w:pStyle w:val="Testonotaapidipagina"/>
        <w:spacing w:line="360" w:lineRule="auto"/>
      </w:pPr>
      <w:r w:rsidRPr="0053501A">
        <w:rPr>
          <w:rStyle w:val="Rimandonotaapidipagina"/>
          <w:color w:val="000000" w:themeColor="text1"/>
        </w:rPr>
        <w:footnoteRef/>
      </w:r>
      <w:r w:rsidRPr="0053501A">
        <w:rPr>
          <w:rStyle w:val="Rimandonotaapidipagina"/>
          <w:color w:val="000000" w:themeColor="text1"/>
        </w:rPr>
        <w:t xml:space="preserve"> </w:t>
      </w:r>
      <w:r w:rsidRPr="0053501A">
        <w:rPr>
          <w:rFonts w:ascii="Times New Roman" w:hAnsi="Times New Roman"/>
          <w:color w:val="000000" w:themeColor="text1"/>
        </w:rPr>
        <w:t>A survey of research issues relating to financial exclusion</w:t>
      </w:r>
      <w:r w:rsidRPr="00B46799">
        <w:rPr>
          <w:rFonts w:ascii="Times New Roman" w:hAnsi="Times New Roman"/>
        </w:rPr>
        <w:t xml:space="preserve"> is </w:t>
      </w:r>
      <w:r>
        <w:rPr>
          <w:rFonts w:ascii="Times New Roman" w:hAnsi="Times New Roman"/>
        </w:rPr>
        <w:t xml:space="preserve">included in </w:t>
      </w:r>
      <w:r w:rsidRPr="00B46799">
        <w:rPr>
          <w:rFonts w:ascii="Times New Roman" w:hAnsi="Times New Roman"/>
        </w:rPr>
        <w:t>World Bank (2007</w:t>
      </w:r>
      <w:r>
        <w:rPr>
          <w:rFonts w:ascii="Times New Roman" w:hAnsi="Times New Roman"/>
        </w:rPr>
        <w:t>, 2014</w:t>
      </w:r>
      <w:r w:rsidRPr="00B46799">
        <w:rPr>
          <w:rFonts w:ascii="Times New Roman" w:hAnsi="Times New Roman"/>
        </w:rPr>
        <w:t>)</w:t>
      </w:r>
      <w:r>
        <w:rPr>
          <w:rFonts w:ascii="Times New Roman" w:hAnsi="Times New Roman"/>
        </w:rPr>
        <w:t>. Also see European Commission (2008) and FITF (2009)</w:t>
      </w:r>
      <w:r w:rsidRPr="00B46799">
        <w:rPr>
          <w:rFonts w:ascii="Times New Roman" w:hAnsi="Times New Roman"/>
        </w:rPr>
        <w:t>.</w:t>
      </w:r>
    </w:p>
  </w:footnote>
  <w:footnote w:id="2">
    <w:p w:rsidR="00B22456" w:rsidRPr="003733BE" w:rsidRDefault="00B22456" w:rsidP="003733BE">
      <w:pPr>
        <w:pStyle w:val="Testonotaapidipagina"/>
        <w:jc w:val="both"/>
        <w:rPr>
          <w:rFonts w:ascii="Times New Roman" w:hAnsi="Times New Roman"/>
        </w:rPr>
      </w:pPr>
      <w:r>
        <w:rPr>
          <w:rStyle w:val="Rimandonotaapidipagina"/>
        </w:rPr>
        <w:footnoteRef/>
      </w:r>
      <w:r>
        <w:t xml:space="preserve"> </w:t>
      </w:r>
      <w:r w:rsidRPr="003733BE">
        <w:rPr>
          <w:rFonts w:ascii="Times New Roman" w:hAnsi="Times New Roman"/>
        </w:rPr>
        <w:t xml:space="preserve">For instance, see, </w:t>
      </w:r>
      <w:r w:rsidRPr="003733BE">
        <w:rPr>
          <w:rFonts w:ascii="Times New Roman" w:hAnsi="Times New Roman"/>
          <w:color w:val="000000"/>
        </w:rPr>
        <w:t xml:space="preserve">Anson, Berthaud, Klapper and Singer (2013), </w:t>
      </w:r>
      <w:r w:rsidRPr="003733BE">
        <w:rPr>
          <w:rFonts w:ascii="Times New Roman" w:hAnsi="Times New Roman"/>
        </w:rPr>
        <w:t>Demirguc-Kunt and Klapper (2012</w:t>
      </w:r>
      <w:r>
        <w:rPr>
          <w:rFonts w:ascii="Times New Roman" w:hAnsi="Times New Roman"/>
        </w:rPr>
        <w:t>b</w:t>
      </w:r>
      <w:r w:rsidRPr="003733BE">
        <w:rPr>
          <w:rFonts w:ascii="Times New Roman" w:hAnsi="Times New Roman"/>
        </w:rPr>
        <w:t>),</w:t>
      </w:r>
      <w:r w:rsidRPr="003733BE">
        <w:rPr>
          <w:rFonts w:ascii="Times New Roman" w:hAnsi="Times New Roman"/>
          <w:bCs/>
          <w:color w:val="000000"/>
        </w:rPr>
        <w:t xml:space="preserve"> Demirguc-Kunt, Klapper and Douglas (2013) and Demirguc-Kunt, Klapper and </w:t>
      </w:r>
      <w:r w:rsidRPr="003733BE">
        <w:rPr>
          <w:rFonts w:ascii="Times New Roman" w:hAnsi="Times New Roman"/>
          <w:color w:val="000000"/>
        </w:rPr>
        <w:t>Singer (2013)</w:t>
      </w:r>
      <w:r>
        <w:rPr>
          <w:rFonts w:ascii="Times New Roman" w:hAnsi="Times New Roman"/>
          <w:color w:val="000000"/>
        </w:rPr>
        <w:t xml:space="preserve"> and World Bank (2013).</w:t>
      </w:r>
    </w:p>
  </w:footnote>
  <w:footnote w:id="3">
    <w:p w:rsidR="00B22456" w:rsidRPr="006C75BE" w:rsidRDefault="00B22456" w:rsidP="00233AB0">
      <w:pPr>
        <w:pStyle w:val="Testonotaapidipagina"/>
        <w:spacing w:line="360" w:lineRule="auto"/>
        <w:jc w:val="both"/>
        <w:rPr>
          <w:rFonts w:ascii="Times New Roman" w:hAnsi="Times New Roman"/>
        </w:rPr>
      </w:pPr>
      <w:r w:rsidRPr="006C75BE">
        <w:rPr>
          <w:rStyle w:val="Rimandonotaapidipagina"/>
          <w:rFonts w:ascii="Times New Roman" w:hAnsi="Times New Roman"/>
        </w:rPr>
        <w:footnoteRef/>
      </w:r>
      <w:r w:rsidRPr="006C75BE">
        <w:rPr>
          <w:rFonts w:ascii="Times New Roman" w:hAnsi="Times New Roman"/>
        </w:rPr>
        <w:t xml:space="preserve"> Also see Ladd (1998) for a review of the issues associated with mortgage discrimination. </w:t>
      </w:r>
    </w:p>
  </w:footnote>
  <w:footnote w:id="4">
    <w:p w:rsidR="00B22456" w:rsidRPr="006C75BE" w:rsidRDefault="00B22456" w:rsidP="00223535">
      <w:pPr>
        <w:pStyle w:val="Testonotaapidipagina"/>
        <w:spacing w:line="360" w:lineRule="auto"/>
        <w:jc w:val="both"/>
      </w:pPr>
      <w:r w:rsidRPr="006C75BE">
        <w:rPr>
          <w:rStyle w:val="Rimandonotaapidipagina"/>
        </w:rPr>
        <w:footnoteRef/>
      </w:r>
      <w:r w:rsidRPr="006C75BE">
        <w:t xml:space="preserve"> </w:t>
      </w:r>
      <w:r w:rsidRPr="006C75BE">
        <w:rPr>
          <w:rFonts w:ascii="Times New Roman" w:hAnsi="Times New Roman"/>
        </w:rPr>
        <w:t xml:space="preserve">See Pager and Shepherd (2008) for an excellent review of the U.S. racial discrimination literature. </w:t>
      </w:r>
    </w:p>
  </w:footnote>
  <w:footnote w:id="5">
    <w:p w:rsidR="00B22456" w:rsidRPr="006C75BE" w:rsidRDefault="00B22456" w:rsidP="00223535">
      <w:pPr>
        <w:autoSpaceDE w:val="0"/>
        <w:autoSpaceDN w:val="0"/>
        <w:adjustRightInd w:val="0"/>
        <w:spacing w:after="0" w:line="360" w:lineRule="auto"/>
        <w:jc w:val="both"/>
      </w:pPr>
      <w:r w:rsidRPr="006C75BE">
        <w:rPr>
          <w:rStyle w:val="Rimandonotaapidipagina"/>
          <w:sz w:val="20"/>
          <w:szCs w:val="20"/>
        </w:rPr>
        <w:footnoteRef/>
      </w:r>
      <w:r w:rsidRPr="006C75BE">
        <w:rPr>
          <w:sz w:val="20"/>
          <w:szCs w:val="20"/>
        </w:rPr>
        <w:t xml:space="preserve"> </w:t>
      </w:r>
      <w:r w:rsidRPr="006C75BE">
        <w:rPr>
          <w:rFonts w:ascii="Times New Roman" w:hAnsi="Times New Roman"/>
          <w:sz w:val="20"/>
          <w:szCs w:val="20"/>
        </w:rPr>
        <w:t xml:space="preserve">Cavalluzo </w:t>
      </w:r>
      <w:r>
        <w:rPr>
          <w:rFonts w:ascii="Times New Roman" w:hAnsi="Times New Roman"/>
          <w:sz w:val="20"/>
          <w:szCs w:val="20"/>
        </w:rPr>
        <w:t>et al.</w:t>
      </w:r>
      <w:r w:rsidRPr="006C75BE">
        <w:rPr>
          <w:rFonts w:ascii="Times New Roman" w:hAnsi="Times New Roman"/>
          <w:sz w:val="20"/>
          <w:szCs w:val="20"/>
        </w:rPr>
        <w:t xml:space="preserve"> (2002) also find higher rates of rejection among (otherwise equivalent) minority-owned small businesses looking to borrow. </w:t>
      </w:r>
    </w:p>
  </w:footnote>
  <w:footnote w:id="6">
    <w:p w:rsidR="00B22456" w:rsidRPr="0053501A" w:rsidRDefault="00B22456" w:rsidP="00223535">
      <w:pPr>
        <w:pStyle w:val="Testonotaapidipagina"/>
        <w:spacing w:line="360" w:lineRule="auto"/>
        <w:jc w:val="both"/>
        <w:rPr>
          <w:color w:val="000000" w:themeColor="text1"/>
        </w:rPr>
      </w:pPr>
      <w:r w:rsidRPr="006C75BE">
        <w:rPr>
          <w:rStyle w:val="Rimandonotaapidipagina"/>
        </w:rPr>
        <w:footnoteRef/>
      </w:r>
      <w:r w:rsidRPr="006C75BE">
        <w:t xml:space="preserve"> </w:t>
      </w:r>
      <w:r w:rsidRPr="0053501A">
        <w:rPr>
          <w:rFonts w:ascii="Times New Roman" w:hAnsi="Times New Roman"/>
          <w:color w:val="000000" w:themeColor="text1"/>
        </w:rPr>
        <w:t xml:space="preserve">Becker (1971) referred to this as statistical discrimination. If lenders lent even less than was suggested by higher default rates to minorities this would suggest what Becker termed ‘prejudicial discrimination’. </w:t>
      </w:r>
    </w:p>
  </w:footnote>
  <w:footnote w:id="7">
    <w:p w:rsidR="00B22456" w:rsidRPr="005C7DF4" w:rsidRDefault="00B22456" w:rsidP="00223535">
      <w:pPr>
        <w:pStyle w:val="Testonotaapidipagina"/>
        <w:jc w:val="both"/>
      </w:pPr>
      <w:r w:rsidRPr="005C7DF4">
        <w:rPr>
          <w:rStyle w:val="Rimandonotaapidipagina"/>
          <w:rFonts w:ascii="Times New Roman" w:hAnsi="Times New Roman"/>
        </w:rPr>
        <w:footnoteRef/>
      </w:r>
      <w:r w:rsidRPr="005C7DF4">
        <w:rPr>
          <w:rFonts w:ascii="Times New Roman" w:hAnsi="Times New Roman"/>
        </w:rPr>
        <w:t xml:space="preserve"> It would also be ideal to control for industry of household head’s employment</w:t>
      </w:r>
      <w:r>
        <w:rPr>
          <w:rFonts w:ascii="Times New Roman" w:hAnsi="Times New Roman"/>
        </w:rPr>
        <w:t xml:space="preserve"> and work experience</w:t>
      </w:r>
      <w:r w:rsidRPr="005C7DF4">
        <w:rPr>
          <w:rFonts w:ascii="Times New Roman" w:hAnsi="Times New Roman"/>
        </w:rPr>
        <w:t>, however, we are unable to control for</w:t>
      </w:r>
      <w:r>
        <w:rPr>
          <w:rFonts w:ascii="Times New Roman" w:hAnsi="Times New Roman"/>
        </w:rPr>
        <w:t xml:space="preserve"> this factor due to data unavailability.</w:t>
      </w:r>
    </w:p>
  </w:footnote>
  <w:footnote w:id="8">
    <w:p w:rsidR="00B22456" w:rsidRPr="00407EE1" w:rsidRDefault="00B22456" w:rsidP="00223535">
      <w:pPr>
        <w:pStyle w:val="Testonotaapidipagina"/>
        <w:jc w:val="both"/>
      </w:pPr>
      <w:r w:rsidRPr="00407EE1">
        <w:rPr>
          <w:rStyle w:val="Rimandonotaapidipagina"/>
          <w:rFonts w:ascii="Times New Roman" w:hAnsi="Times New Roman"/>
        </w:rPr>
        <w:footnoteRef/>
      </w:r>
      <w:r w:rsidRPr="00407EE1">
        <w:rPr>
          <w:rFonts w:ascii="Times New Roman" w:hAnsi="Times New Roman"/>
        </w:rPr>
        <w:t xml:space="preserve"> The category </w:t>
      </w:r>
      <w:r w:rsidRPr="00044B7C">
        <w:rPr>
          <w:rFonts w:ascii="Times New Roman" w:hAnsi="Times New Roman"/>
          <w:i/>
        </w:rPr>
        <w:t>single</w:t>
      </w:r>
      <w:r w:rsidRPr="00407EE1">
        <w:rPr>
          <w:rFonts w:ascii="Times New Roman" w:hAnsi="Times New Roman"/>
        </w:rPr>
        <w:t xml:space="preserve"> includes household heads that are widowed, divorced and separated.</w:t>
      </w:r>
    </w:p>
  </w:footnote>
  <w:footnote w:id="9">
    <w:p w:rsidR="00B22456" w:rsidRPr="00CE55DA" w:rsidRDefault="00B22456" w:rsidP="00223535">
      <w:pPr>
        <w:pStyle w:val="Testonotaapidipagina"/>
        <w:jc w:val="both"/>
      </w:pPr>
      <w:r w:rsidRPr="00CE55DA">
        <w:rPr>
          <w:rStyle w:val="Rimandonotaapidipagina"/>
        </w:rPr>
        <w:footnoteRef/>
      </w:r>
      <w:r>
        <w:rPr>
          <w:rFonts w:ascii="Times New Roman" w:hAnsi="Times New Roman"/>
        </w:rPr>
        <w:t xml:space="preserve"> </w:t>
      </w:r>
      <w:r w:rsidRPr="00CE55DA">
        <w:rPr>
          <w:rFonts w:ascii="Times New Roman" w:hAnsi="Times New Roman"/>
        </w:rPr>
        <w:t>The regions considered in the study include thirteen government office regions: North East, North West, Merseyside, Yorkshire and the Humber, East Midlands, West Midlands, Eastern, London, South East, South West, Wales, Scotland and Northern Ireland.</w:t>
      </w:r>
    </w:p>
  </w:footnote>
  <w:footnote w:id="10">
    <w:p w:rsidR="00B22456" w:rsidRPr="005B3387" w:rsidRDefault="00B22456" w:rsidP="001729F1">
      <w:pPr>
        <w:pStyle w:val="Testonotaapidipagina"/>
        <w:jc w:val="both"/>
        <w:rPr>
          <w:rFonts w:ascii="Times New Roman" w:hAnsi="Times New Roman"/>
          <w:lang w:val="en-GB"/>
        </w:rPr>
      </w:pPr>
      <w:r w:rsidRPr="005B3387">
        <w:rPr>
          <w:rStyle w:val="Rimandonotaapidipagina"/>
          <w:rFonts w:ascii="Times New Roman" w:hAnsi="Times New Roman"/>
        </w:rPr>
        <w:footnoteRef/>
      </w:r>
      <w:r w:rsidRPr="005B3387">
        <w:rPr>
          <w:rFonts w:ascii="Times New Roman" w:hAnsi="Times New Roman"/>
        </w:rPr>
        <w:t xml:space="preserve">A third option may be informal form of finance provided by family and friends. </w:t>
      </w:r>
      <w:r>
        <w:rPr>
          <w:rFonts w:ascii="Times New Roman" w:hAnsi="Times New Roman"/>
        </w:rPr>
        <w:t xml:space="preserve">We cannot identify these observations in the database.  </w:t>
      </w:r>
    </w:p>
  </w:footnote>
  <w:footnote w:id="11">
    <w:p w:rsidR="00B22456" w:rsidRPr="001729F1" w:rsidRDefault="00B22456" w:rsidP="001729F1">
      <w:pPr>
        <w:pStyle w:val="Testonotaapidipagina"/>
        <w:jc w:val="both"/>
        <w:rPr>
          <w:rFonts w:ascii="Times New Roman" w:hAnsi="Times New Roman"/>
        </w:rPr>
      </w:pPr>
      <w:r w:rsidRPr="001729F1">
        <w:rPr>
          <w:rStyle w:val="Rimandonotaapidipagina"/>
          <w:rFonts w:ascii="Times New Roman" w:hAnsi="Times New Roman"/>
        </w:rPr>
        <w:footnoteRef/>
      </w:r>
      <w:r w:rsidRPr="001729F1">
        <w:rPr>
          <w:rFonts w:ascii="Times New Roman" w:hAnsi="Times New Roman"/>
        </w:rPr>
        <w:t xml:space="preserve"> Please note that due to data limitation income and expenditures are measured for a particular week and does not capture the possible inter-temporal substitution affect that can be observed within a year (such as saving up to pay for heat</w:t>
      </w:r>
      <w:r>
        <w:rPr>
          <w:rFonts w:ascii="Times New Roman" w:hAnsi="Times New Roman"/>
        </w:rPr>
        <w:t>ing</w:t>
      </w:r>
      <w:r w:rsidRPr="001729F1">
        <w:rPr>
          <w:rFonts w:ascii="Times New Roman" w:hAnsi="Times New Roman"/>
        </w:rPr>
        <w:t xml:space="preserve"> during the winter). </w:t>
      </w:r>
    </w:p>
  </w:footnote>
  <w:footnote w:id="12">
    <w:p w:rsidR="00B22456" w:rsidRPr="00205B10" w:rsidRDefault="00B22456" w:rsidP="00B22456">
      <w:pPr>
        <w:pStyle w:val="Testonotaapidipagina"/>
        <w:jc w:val="both"/>
      </w:pPr>
      <w:r w:rsidRPr="00473335">
        <w:rPr>
          <w:rStyle w:val="Rimandonotaapidipagina"/>
          <w:rFonts w:ascii="Times New Roman" w:hAnsi="Times New Roman"/>
        </w:rPr>
        <w:footnoteRef/>
      </w:r>
      <w:r w:rsidRPr="00473335">
        <w:rPr>
          <w:rFonts w:ascii="Times New Roman" w:hAnsi="Times New Roman"/>
        </w:rPr>
        <w:t xml:space="preserve"> </w:t>
      </w:r>
      <w:r w:rsidRPr="00205B10">
        <w:rPr>
          <w:rFonts w:ascii="Times New Roman" w:hAnsi="Times New Roman"/>
        </w:rPr>
        <w:t>Commenting on the other socio-demographic determinants of household access to consumer finance  we find that compared to the benchmark group households headed by persons aged between 16 and 24 and 65 and above are likely to have financing in general.  Employment is a strong predictor of financial exclusion.  Households that are not employed are less likely to obtain financing from financial institutions.  There is some evidence that  households whose heads leave full-time education at or below GSCE level were more likely to be without financial products (Kempson and Whyley, 1999). Our findings support this assertion with reference to financing in general.  In terms of gender, similar to Munnell et al.’s (1996) findings, we show that females are less likely to be without either credit cards or loans. Using married household heads as the reference category we find that single households are more likely to have limited access to consumer credit.  Similar findings are reported by Duca and Rosenthal (1993), Munnell et al. (1996) and Tootell (1996).  We find that household size is not a significant determinant of access to finance in general.  Only large households, with over 5 members, are less likely to have financing.  We also observe that, compared to single occupants, larger households are more likely to have a loan rather than a credit card. We find that households within higher income brackets are more likely to have credit.  Regarding the benefits, the results suggest that recipients were more likely to have no consumer credit. Similar to Duca and Rosenthal (1993), we find that mortgagors are least likely to be without a consumer loan or a credit card as compared to both owner occupiers and renters and within the tenure variable, renting households are most likely to have credit access.</w:t>
      </w:r>
      <w:r w:rsidRPr="00205B10">
        <w:t xml:space="preserve">  </w:t>
      </w:r>
    </w:p>
  </w:footnote>
  <w:footnote w:id="13">
    <w:p w:rsidR="00B22456" w:rsidRPr="00205B10" w:rsidRDefault="00B22456" w:rsidP="00B22456">
      <w:pPr>
        <w:pStyle w:val="Testonotaapidipagina"/>
        <w:jc w:val="both"/>
        <w:rPr>
          <w:rFonts w:ascii="Times New Roman" w:hAnsi="Times New Roman"/>
        </w:rPr>
      </w:pPr>
      <w:r w:rsidRPr="00205B10">
        <w:rPr>
          <w:rStyle w:val="Rimandonotaapidipagina"/>
          <w:rFonts w:ascii="Times New Roman" w:hAnsi="Times New Roman"/>
        </w:rPr>
        <w:footnoteRef/>
      </w:r>
      <w:r w:rsidRPr="00205B10">
        <w:rPr>
          <w:rFonts w:ascii="Times New Roman" w:hAnsi="Times New Roman"/>
        </w:rPr>
        <w:t xml:space="preserve"> We present the results of the selection model for </w:t>
      </w:r>
      <w:r w:rsidRPr="00205B10">
        <w:rPr>
          <w:rFonts w:ascii="Times New Roman" w:hAnsi="Times New Roman"/>
          <w:i/>
        </w:rPr>
        <w:t>income gap</w:t>
      </w:r>
      <w:r w:rsidRPr="00205B10">
        <w:rPr>
          <w:rFonts w:ascii="Times New Roman" w:hAnsi="Times New Roman"/>
        </w:rPr>
        <w:t xml:space="preserve"> in Table 7 Panel A.  </w:t>
      </w:r>
    </w:p>
  </w:footnote>
  <w:footnote w:id="14">
    <w:p w:rsidR="00B22456" w:rsidRPr="00E97444" w:rsidRDefault="00B22456" w:rsidP="00B22456">
      <w:pPr>
        <w:pStyle w:val="Testonotaapidipagina"/>
        <w:jc w:val="both"/>
      </w:pPr>
      <w:r w:rsidRPr="00205B10">
        <w:rPr>
          <w:rStyle w:val="Rimandonotaapidipagina"/>
          <w:rFonts w:ascii="Times New Roman" w:hAnsi="Times New Roman"/>
        </w:rPr>
        <w:footnoteRef/>
      </w:r>
      <w:r w:rsidRPr="00205B10">
        <w:rPr>
          <w:rFonts w:ascii="Times New Roman" w:hAnsi="Times New Roman"/>
        </w:rPr>
        <w:t xml:space="preserve"> We recognise that income, employment and housing are all endogenous of model.  While this is an important caveat to keep in mind for results presented in this section, we think it is nonetheless interesting to see the results for subgroups.</w:t>
      </w:r>
      <w:r w:rsidRPr="00205B10">
        <w:t xml:space="preserve">  </w:t>
      </w:r>
      <w:r w:rsidRPr="00E97444">
        <w:t xml:space="preserve"> </w:t>
      </w:r>
    </w:p>
  </w:footnote>
  <w:footnote w:id="15">
    <w:p w:rsidR="00B22456" w:rsidRPr="00A5338A" w:rsidRDefault="00B22456" w:rsidP="00B22456">
      <w:pPr>
        <w:pStyle w:val="Testonotaapidipagina"/>
        <w:jc w:val="both"/>
      </w:pPr>
      <w:r>
        <w:rPr>
          <w:rStyle w:val="Rimandonotaapidipagina"/>
        </w:rPr>
        <w:footnoteRef/>
      </w:r>
      <w:r>
        <w:t xml:space="preserve"> </w:t>
      </w:r>
      <w:r w:rsidRPr="00A5338A">
        <w:rPr>
          <w:rFonts w:ascii="Times New Roman" w:hAnsi="Times New Roman"/>
        </w:rPr>
        <w:t>Although we have information on the number of loans each household has</w:t>
      </w:r>
      <w:r>
        <w:rPr>
          <w:rFonts w:ascii="Times New Roman" w:hAnsi="Times New Roman"/>
        </w:rPr>
        <w:t>,</w:t>
      </w:r>
      <w:r w:rsidRPr="00A5338A">
        <w:rPr>
          <w:rFonts w:ascii="Times New Roman" w:hAnsi="Times New Roman"/>
        </w:rPr>
        <w:t xml:space="preserve"> the value of the outstanding loans </w:t>
      </w:r>
      <w:r>
        <w:rPr>
          <w:rFonts w:ascii="Times New Roman" w:hAnsi="Times New Roman"/>
        </w:rPr>
        <w:t>are not available</w:t>
      </w:r>
      <w:r w:rsidRPr="00A5338A">
        <w:rPr>
          <w:rFonts w:ascii="Times New Roman" w:hAnsi="Times New Roman"/>
        </w:rPr>
        <w:t>.</w:t>
      </w:r>
    </w:p>
  </w:footnote>
  <w:footnote w:id="16">
    <w:p w:rsidR="00B22456" w:rsidRPr="006D269A" w:rsidRDefault="00B22456" w:rsidP="00B22456">
      <w:pPr>
        <w:pStyle w:val="Testonotaapidipagina"/>
        <w:jc w:val="both"/>
        <w:rPr>
          <w:rFonts w:ascii="Times New Roman" w:hAnsi="Times New Roman"/>
          <w:lang w:val="en-GB"/>
        </w:rPr>
      </w:pPr>
      <w:r w:rsidRPr="00DD197D">
        <w:rPr>
          <w:rStyle w:val="Rimandonotaapidipagina"/>
          <w:rFonts w:ascii="Times New Roman" w:hAnsi="Times New Roman"/>
        </w:rPr>
        <w:footnoteRef/>
      </w:r>
      <w:r w:rsidRPr="00DD197D">
        <w:rPr>
          <w:rFonts w:ascii="Times New Roman" w:hAnsi="Times New Roman"/>
        </w:rPr>
        <w:t xml:space="preserve"> W</w:t>
      </w:r>
      <w:r w:rsidRPr="006D269A">
        <w:rPr>
          <w:rFonts w:ascii="Times New Roman" w:hAnsi="Times New Roman"/>
        </w:rPr>
        <w:t xml:space="preserve">e present the results of the models estimating the propensity score in Table 7 Panel B.  </w:t>
      </w:r>
    </w:p>
  </w:footnote>
  <w:footnote w:id="17">
    <w:p w:rsidR="00B22456" w:rsidRPr="005E027D" w:rsidRDefault="00B22456">
      <w:pPr>
        <w:pStyle w:val="Testonotaapidipagina"/>
        <w:rPr>
          <w:lang w:val="en-GB"/>
        </w:rPr>
      </w:pPr>
      <w:r w:rsidRPr="006D269A">
        <w:rPr>
          <w:rStyle w:val="Rimandonotaapidipagina"/>
          <w:rFonts w:ascii="Times New Roman" w:hAnsi="Times New Roman"/>
        </w:rPr>
        <w:footnoteRef/>
      </w:r>
      <w:r w:rsidRPr="006D269A">
        <w:rPr>
          <w:rFonts w:ascii="Times New Roman" w:hAnsi="Times New Roman"/>
        </w:rPr>
        <w:t xml:space="preserve"> </w:t>
      </w:r>
      <w:r w:rsidRPr="006D269A">
        <w:rPr>
          <w:rFonts w:ascii="Times New Roman" w:hAnsi="Times New Roman"/>
          <w:lang w:val="en-GB"/>
        </w:rPr>
        <w:t xml:space="preserve">We only report a significant variable for NoCreditcard in the model with four matched controls.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5CDCC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8ED2388"/>
    <w:multiLevelType w:val="hybridMultilevel"/>
    <w:tmpl w:val="6C06B4B4"/>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22827F27"/>
    <w:multiLevelType w:val="hybridMultilevel"/>
    <w:tmpl w:val="B8B47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0A7961"/>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3CE972F1"/>
    <w:multiLevelType w:val="hybridMultilevel"/>
    <w:tmpl w:val="C4F45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601E94"/>
    <w:multiLevelType w:val="hybridMultilevel"/>
    <w:tmpl w:val="38A2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FF630C"/>
    <w:multiLevelType w:val="hybridMultilevel"/>
    <w:tmpl w:val="1180DE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DC50818"/>
    <w:multiLevelType w:val="multilevel"/>
    <w:tmpl w:val="B640688E"/>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i w:val="0"/>
      </w:rPr>
    </w:lvl>
    <w:lvl w:ilvl="2">
      <w:start w:val="1"/>
      <w:numFmt w:val="decimal"/>
      <w:lvlText w:val="%1.%2.%3."/>
      <w:lvlJc w:val="left"/>
      <w:pPr>
        <w:ind w:left="1224" w:hanging="504"/>
      </w:pPr>
      <w:rPr>
        <w:rFonts w:cs="Times New Roman"/>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7A5E2DEA"/>
    <w:multiLevelType w:val="hybridMultilevel"/>
    <w:tmpl w:val="630A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7"/>
  </w:num>
  <w:num w:numId="5">
    <w:abstractNumId w:val="3"/>
  </w:num>
  <w:num w:numId="6">
    <w:abstractNumId w:val="5"/>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A7"/>
    <w:rsid w:val="000002FC"/>
    <w:rsid w:val="000017B7"/>
    <w:rsid w:val="00002409"/>
    <w:rsid w:val="00003E15"/>
    <w:rsid w:val="00005B87"/>
    <w:rsid w:val="000079C8"/>
    <w:rsid w:val="00010E48"/>
    <w:rsid w:val="00011FB8"/>
    <w:rsid w:val="00013312"/>
    <w:rsid w:val="00015100"/>
    <w:rsid w:val="00016290"/>
    <w:rsid w:val="00016E98"/>
    <w:rsid w:val="00022348"/>
    <w:rsid w:val="00022D4A"/>
    <w:rsid w:val="0002766F"/>
    <w:rsid w:val="00032BFE"/>
    <w:rsid w:val="00033068"/>
    <w:rsid w:val="000340CE"/>
    <w:rsid w:val="000353F9"/>
    <w:rsid w:val="00035BC0"/>
    <w:rsid w:val="00037F19"/>
    <w:rsid w:val="0004157A"/>
    <w:rsid w:val="0004463F"/>
    <w:rsid w:val="00044B7C"/>
    <w:rsid w:val="00044DDE"/>
    <w:rsid w:val="00044FAB"/>
    <w:rsid w:val="00045DFB"/>
    <w:rsid w:val="00046B87"/>
    <w:rsid w:val="00046D6B"/>
    <w:rsid w:val="00047721"/>
    <w:rsid w:val="000503E5"/>
    <w:rsid w:val="000515BB"/>
    <w:rsid w:val="00051FFE"/>
    <w:rsid w:val="000523D5"/>
    <w:rsid w:val="000524F5"/>
    <w:rsid w:val="00052C5B"/>
    <w:rsid w:val="00053653"/>
    <w:rsid w:val="00053D36"/>
    <w:rsid w:val="0005440D"/>
    <w:rsid w:val="00055869"/>
    <w:rsid w:val="00055D61"/>
    <w:rsid w:val="00055F4E"/>
    <w:rsid w:val="00056ADB"/>
    <w:rsid w:val="00056D5D"/>
    <w:rsid w:val="000605A0"/>
    <w:rsid w:val="0006217D"/>
    <w:rsid w:val="0006462E"/>
    <w:rsid w:val="00064832"/>
    <w:rsid w:val="00065B1C"/>
    <w:rsid w:val="0006615E"/>
    <w:rsid w:val="00066FBC"/>
    <w:rsid w:val="000675C5"/>
    <w:rsid w:val="00073234"/>
    <w:rsid w:val="00073F56"/>
    <w:rsid w:val="00074042"/>
    <w:rsid w:val="0007780E"/>
    <w:rsid w:val="00077F3D"/>
    <w:rsid w:val="0008122E"/>
    <w:rsid w:val="0008240A"/>
    <w:rsid w:val="00082A0D"/>
    <w:rsid w:val="00084E91"/>
    <w:rsid w:val="000860AC"/>
    <w:rsid w:val="0008650A"/>
    <w:rsid w:val="00091F92"/>
    <w:rsid w:val="00093675"/>
    <w:rsid w:val="00094726"/>
    <w:rsid w:val="000951E5"/>
    <w:rsid w:val="000953FA"/>
    <w:rsid w:val="000963DB"/>
    <w:rsid w:val="00096B3D"/>
    <w:rsid w:val="000A0218"/>
    <w:rsid w:val="000A1101"/>
    <w:rsid w:val="000A124A"/>
    <w:rsid w:val="000A5664"/>
    <w:rsid w:val="000A6D29"/>
    <w:rsid w:val="000B0E8B"/>
    <w:rsid w:val="000B3A16"/>
    <w:rsid w:val="000B4E04"/>
    <w:rsid w:val="000B5B10"/>
    <w:rsid w:val="000B5B2F"/>
    <w:rsid w:val="000B5D38"/>
    <w:rsid w:val="000C0B4C"/>
    <w:rsid w:val="000C4239"/>
    <w:rsid w:val="000C73BE"/>
    <w:rsid w:val="000D500D"/>
    <w:rsid w:val="000D5D26"/>
    <w:rsid w:val="000D5E6D"/>
    <w:rsid w:val="000E15A1"/>
    <w:rsid w:val="000E4A04"/>
    <w:rsid w:val="000E4D83"/>
    <w:rsid w:val="000E68A3"/>
    <w:rsid w:val="000F06DA"/>
    <w:rsid w:val="000F2CBB"/>
    <w:rsid w:val="000F4312"/>
    <w:rsid w:val="000F434A"/>
    <w:rsid w:val="000F4BC8"/>
    <w:rsid w:val="000F58C9"/>
    <w:rsid w:val="000F6218"/>
    <w:rsid w:val="000F63EB"/>
    <w:rsid w:val="000F6719"/>
    <w:rsid w:val="000F6869"/>
    <w:rsid w:val="000F7882"/>
    <w:rsid w:val="001000DB"/>
    <w:rsid w:val="00106227"/>
    <w:rsid w:val="001072D3"/>
    <w:rsid w:val="00110D8B"/>
    <w:rsid w:val="00112AE5"/>
    <w:rsid w:val="00113894"/>
    <w:rsid w:val="00113FE8"/>
    <w:rsid w:val="00121FA2"/>
    <w:rsid w:val="00121FE8"/>
    <w:rsid w:val="00123E84"/>
    <w:rsid w:val="00125041"/>
    <w:rsid w:val="00125DFA"/>
    <w:rsid w:val="0013055C"/>
    <w:rsid w:val="00131264"/>
    <w:rsid w:val="00132BDB"/>
    <w:rsid w:val="00132EE8"/>
    <w:rsid w:val="0013587B"/>
    <w:rsid w:val="00136B95"/>
    <w:rsid w:val="00137226"/>
    <w:rsid w:val="00137CBC"/>
    <w:rsid w:val="0014149F"/>
    <w:rsid w:val="001424F6"/>
    <w:rsid w:val="001440E4"/>
    <w:rsid w:val="001452BE"/>
    <w:rsid w:val="00145465"/>
    <w:rsid w:val="0014615B"/>
    <w:rsid w:val="00147FE5"/>
    <w:rsid w:val="0015468C"/>
    <w:rsid w:val="0015506C"/>
    <w:rsid w:val="00156C8B"/>
    <w:rsid w:val="0016033A"/>
    <w:rsid w:val="00162635"/>
    <w:rsid w:val="00164A62"/>
    <w:rsid w:val="00167003"/>
    <w:rsid w:val="001672DD"/>
    <w:rsid w:val="00171F98"/>
    <w:rsid w:val="00172240"/>
    <w:rsid w:val="001729F1"/>
    <w:rsid w:val="00173A2B"/>
    <w:rsid w:val="00176AB7"/>
    <w:rsid w:val="001817BC"/>
    <w:rsid w:val="00181AF1"/>
    <w:rsid w:val="00183981"/>
    <w:rsid w:val="00185ECD"/>
    <w:rsid w:val="00186359"/>
    <w:rsid w:val="001875B5"/>
    <w:rsid w:val="0019142B"/>
    <w:rsid w:val="001924A5"/>
    <w:rsid w:val="001932FE"/>
    <w:rsid w:val="00194E74"/>
    <w:rsid w:val="00195B1A"/>
    <w:rsid w:val="001972E0"/>
    <w:rsid w:val="001976D0"/>
    <w:rsid w:val="0019770A"/>
    <w:rsid w:val="00197B9F"/>
    <w:rsid w:val="00197CFF"/>
    <w:rsid w:val="001A1A53"/>
    <w:rsid w:val="001A3BEC"/>
    <w:rsid w:val="001A5C5D"/>
    <w:rsid w:val="001A6FCA"/>
    <w:rsid w:val="001B53A9"/>
    <w:rsid w:val="001B7879"/>
    <w:rsid w:val="001B7DE5"/>
    <w:rsid w:val="001C0AEE"/>
    <w:rsid w:val="001C2C39"/>
    <w:rsid w:val="001C4AF4"/>
    <w:rsid w:val="001C71E4"/>
    <w:rsid w:val="001D138C"/>
    <w:rsid w:val="001D13DA"/>
    <w:rsid w:val="001D18A0"/>
    <w:rsid w:val="001D26E0"/>
    <w:rsid w:val="001D477E"/>
    <w:rsid w:val="001D6D37"/>
    <w:rsid w:val="001D751F"/>
    <w:rsid w:val="001E2668"/>
    <w:rsid w:val="001E2BD4"/>
    <w:rsid w:val="001E42EB"/>
    <w:rsid w:val="001E4FBF"/>
    <w:rsid w:val="001E5E37"/>
    <w:rsid w:val="001E5F13"/>
    <w:rsid w:val="001E7528"/>
    <w:rsid w:val="001F0F4F"/>
    <w:rsid w:val="001F2C03"/>
    <w:rsid w:val="001F392E"/>
    <w:rsid w:val="001F558F"/>
    <w:rsid w:val="001F7BDC"/>
    <w:rsid w:val="00201D6D"/>
    <w:rsid w:val="00203B60"/>
    <w:rsid w:val="00205B10"/>
    <w:rsid w:val="002065BD"/>
    <w:rsid w:val="002070CD"/>
    <w:rsid w:val="00210B0A"/>
    <w:rsid w:val="00212CAD"/>
    <w:rsid w:val="002149B8"/>
    <w:rsid w:val="00216F57"/>
    <w:rsid w:val="002217EE"/>
    <w:rsid w:val="00223535"/>
    <w:rsid w:val="002256D8"/>
    <w:rsid w:val="00233590"/>
    <w:rsid w:val="002337FA"/>
    <w:rsid w:val="00233AB0"/>
    <w:rsid w:val="00233DFC"/>
    <w:rsid w:val="00235120"/>
    <w:rsid w:val="00237C32"/>
    <w:rsid w:val="00242681"/>
    <w:rsid w:val="002431ED"/>
    <w:rsid w:val="002438E4"/>
    <w:rsid w:val="00243B7F"/>
    <w:rsid w:val="00245C55"/>
    <w:rsid w:val="00246838"/>
    <w:rsid w:val="00251C21"/>
    <w:rsid w:val="002533DA"/>
    <w:rsid w:val="00253C2B"/>
    <w:rsid w:val="0025542B"/>
    <w:rsid w:val="00256409"/>
    <w:rsid w:val="00260434"/>
    <w:rsid w:val="00260891"/>
    <w:rsid w:val="00262056"/>
    <w:rsid w:val="002627BA"/>
    <w:rsid w:val="00265A6B"/>
    <w:rsid w:val="002662FF"/>
    <w:rsid w:val="00266F44"/>
    <w:rsid w:val="00273140"/>
    <w:rsid w:val="002732A0"/>
    <w:rsid w:val="0027492C"/>
    <w:rsid w:val="00274CEC"/>
    <w:rsid w:val="00276065"/>
    <w:rsid w:val="00277746"/>
    <w:rsid w:val="00280797"/>
    <w:rsid w:val="0028353F"/>
    <w:rsid w:val="00285DCA"/>
    <w:rsid w:val="00286687"/>
    <w:rsid w:val="0028681E"/>
    <w:rsid w:val="00286B50"/>
    <w:rsid w:val="002903F0"/>
    <w:rsid w:val="00291806"/>
    <w:rsid w:val="00291FFD"/>
    <w:rsid w:val="00293228"/>
    <w:rsid w:val="00294C68"/>
    <w:rsid w:val="002966E2"/>
    <w:rsid w:val="00297FCA"/>
    <w:rsid w:val="002A0368"/>
    <w:rsid w:val="002A382B"/>
    <w:rsid w:val="002A613A"/>
    <w:rsid w:val="002A66D3"/>
    <w:rsid w:val="002A7DDE"/>
    <w:rsid w:val="002B040C"/>
    <w:rsid w:val="002B2B52"/>
    <w:rsid w:val="002B5EA3"/>
    <w:rsid w:val="002B61AC"/>
    <w:rsid w:val="002C0A8B"/>
    <w:rsid w:val="002C4403"/>
    <w:rsid w:val="002C53DD"/>
    <w:rsid w:val="002C54A9"/>
    <w:rsid w:val="002C6822"/>
    <w:rsid w:val="002C7AD7"/>
    <w:rsid w:val="002C7B79"/>
    <w:rsid w:val="002D099F"/>
    <w:rsid w:val="002D1E3D"/>
    <w:rsid w:val="002D22F3"/>
    <w:rsid w:val="002D2629"/>
    <w:rsid w:val="002D42C7"/>
    <w:rsid w:val="002D522B"/>
    <w:rsid w:val="002D63CB"/>
    <w:rsid w:val="002D68E6"/>
    <w:rsid w:val="002D6C4F"/>
    <w:rsid w:val="002E00CA"/>
    <w:rsid w:val="002E09B0"/>
    <w:rsid w:val="002E1B22"/>
    <w:rsid w:val="002E28AD"/>
    <w:rsid w:val="002E3246"/>
    <w:rsid w:val="002F092A"/>
    <w:rsid w:val="002F37C8"/>
    <w:rsid w:val="002F4CBD"/>
    <w:rsid w:val="00302AC2"/>
    <w:rsid w:val="00302D4A"/>
    <w:rsid w:val="0030474B"/>
    <w:rsid w:val="00304B7A"/>
    <w:rsid w:val="00305CE0"/>
    <w:rsid w:val="00305D9F"/>
    <w:rsid w:val="00310D92"/>
    <w:rsid w:val="00311CEB"/>
    <w:rsid w:val="003128D1"/>
    <w:rsid w:val="003132BB"/>
    <w:rsid w:val="00316910"/>
    <w:rsid w:val="00323AE3"/>
    <w:rsid w:val="00323C61"/>
    <w:rsid w:val="00325225"/>
    <w:rsid w:val="00325705"/>
    <w:rsid w:val="003308D3"/>
    <w:rsid w:val="003327F0"/>
    <w:rsid w:val="00333AC3"/>
    <w:rsid w:val="003344EE"/>
    <w:rsid w:val="00337B05"/>
    <w:rsid w:val="00337FD1"/>
    <w:rsid w:val="00343067"/>
    <w:rsid w:val="00344EA4"/>
    <w:rsid w:val="00347E36"/>
    <w:rsid w:val="003505E7"/>
    <w:rsid w:val="0035139E"/>
    <w:rsid w:val="00351A5C"/>
    <w:rsid w:val="00357328"/>
    <w:rsid w:val="00361110"/>
    <w:rsid w:val="00361264"/>
    <w:rsid w:val="00363B13"/>
    <w:rsid w:val="003646FB"/>
    <w:rsid w:val="0036600A"/>
    <w:rsid w:val="00367268"/>
    <w:rsid w:val="0037046A"/>
    <w:rsid w:val="0037162B"/>
    <w:rsid w:val="00372E48"/>
    <w:rsid w:val="003733BE"/>
    <w:rsid w:val="00373783"/>
    <w:rsid w:val="00375486"/>
    <w:rsid w:val="003756B6"/>
    <w:rsid w:val="00376B67"/>
    <w:rsid w:val="0037705D"/>
    <w:rsid w:val="00380D46"/>
    <w:rsid w:val="00382280"/>
    <w:rsid w:val="00382B03"/>
    <w:rsid w:val="00383334"/>
    <w:rsid w:val="003843C3"/>
    <w:rsid w:val="00384DA8"/>
    <w:rsid w:val="00385C32"/>
    <w:rsid w:val="0038671C"/>
    <w:rsid w:val="00390142"/>
    <w:rsid w:val="00391725"/>
    <w:rsid w:val="00393264"/>
    <w:rsid w:val="003934A3"/>
    <w:rsid w:val="003955CA"/>
    <w:rsid w:val="0039700B"/>
    <w:rsid w:val="003972DF"/>
    <w:rsid w:val="00397C42"/>
    <w:rsid w:val="003A1928"/>
    <w:rsid w:val="003A2ACF"/>
    <w:rsid w:val="003A335C"/>
    <w:rsid w:val="003A3ED3"/>
    <w:rsid w:val="003A5513"/>
    <w:rsid w:val="003A5E24"/>
    <w:rsid w:val="003A6044"/>
    <w:rsid w:val="003A6534"/>
    <w:rsid w:val="003A6C9D"/>
    <w:rsid w:val="003A7E3B"/>
    <w:rsid w:val="003B236F"/>
    <w:rsid w:val="003B5CA2"/>
    <w:rsid w:val="003C0C46"/>
    <w:rsid w:val="003C108D"/>
    <w:rsid w:val="003C26B2"/>
    <w:rsid w:val="003C2C58"/>
    <w:rsid w:val="003C3C83"/>
    <w:rsid w:val="003D23A2"/>
    <w:rsid w:val="003D293F"/>
    <w:rsid w:val="003D5A0B"/>
    <w:rsid w:val="003D63DF"/>
    <w:rsid w:val="003D71E6"/>
    <w:rsid w:val="003D74F8"/>
    <w:rsid w:val="003D7655"/>
    <w:rsid w:val="003E0070"/>
    <w:rsid w:val="003E14FD"/>
    <w:rsid w:val="003E5E7E"/>
    <w:rsid w:val="003F4C95"/>
    <w:rsid w:val="003F61AC"/>
    <w:rsid w:val="003F70FB"/>
    <w:rsid w:val="003F7AFA"/>
    <w:rsid w:val="004005EF"/>
    <w:rsid w:val="00400BCD"/>
    <w:rsid w:val="00405DBC"/>
    <w:rsid w:val="00406DBD"/>
    <w:rsid w:val="004078FB"/>
    <w:rsid w:val="00407EE1"/>
    <w:rsid w:val="004104BA"/>
    <w:rsid w:val="00411629"/>
    <w:rsid w:val="00411749"/>
    <w:rsid w:val="0041323E"/>
    <w:rsid w:val="00413BA8"/>
    <w:rsid w:val="00415F26"/>
    <w:rsid w:val="00420697"/>
    <w:rsid w:val="004307A0"/>
    <w:rsid w:val="00431114"/>
    <w:rsid w:val="004312A0"/>
    <w:rsid w:val="00431F27"/>
    <w:rsid w:val="00432AB0"/>
    <w:rsid w:val="00432F33"/>
    <w:rsid w:val="00433C66"/>
    <w:rsid w:val="00434379"/>
    <w:rsid w:val="004350FE"/>
    <w:rsid w:val="00437450"/>
    <w:rsid w:val="004403E9"/>
    <w:rsid w:val="004407FD"/>
    <w:rsid w:val="00441AAB"/>
    <w:rsid w:val="00441E82"/>
    <w:rsid w:val="00443BF7"/>
    <w:rsid w:val="0044721C"/>
    <w:rsid w:val="00450913"/>
    <w:rsid w:val="0045204D"/>
    <w:rsid w:val="004536C1"/>
    <w:rsid w:val="0045390C"/>
    <w:rsid w:val="00455104"/>
    <w:rsid w:val="00455F32"/>
    <w:rsid w:val="00456C4E"/>
    <w:rsid w:val="00456E01"/>
    <w:rsid w:val="00456EA7"/>
    <w:rsid w:val="00460B26"/>
    <w:rsid w:val="00467776"/>
    <w:rsid w:val="0047017F"/>
    <w:rsid w:val="004731A5"/>
    <w:rsid w:val="00473335"/>
    <w:rsid w:val="00473C61"/>
    <w:rsid w:val="00477092"/>
    <w:rsid w:val="00480851"/>
    <w:rsid w:val="00480963"/>
    <w:rsid w:val="00480DC8"/>
    <w:rsid w:val="00482C2F"/>
    <w:rsid w:val="00485945"/>
    <w:rsid w:val="00487665"/>
    <w:rsid w:val="00490CDC"/>
    <w:rsid w:val="00491156"/>
    <w:rsid w:val="00491889"/>
    <w:rsid w:val="00492175"/>
    <w:rsid w:val="00493514"/>
    <w:rsid w:val="0049494A"/>
    <w:rsid w:val="0049496C"/>
    <w:rsid w:val="00495E22"/>
    <w:rsid w:val="00496C9C"/>
    <w:rsid w:val="004A12E0"/>
    <w:rsid w:val="004A1C4F"/>
    <w:rsid w:val="004A4515"/>
    <w:rsid w:val="004A6613"/>
    <w:rsid w:val="004A783A"/>
    <w:rsid w:val="004B1240"/>
    <w:rsid w:val="004B1485"/>
    <w:rsid w:val="004B2FAD"/>
    <w:rsid w:val="004B4F8C"/>
    <w:rsid w:val="004B6232"/>
    <w:rsid w:val="004B6FBC"/>
    <w:rsid w:val="004B7ADE"/>
    <w:rsid w:val="004C2211"/>
    <w:rsid w:val="004C22AB"/>
    <w:rsid w:val="004C26A3"/>
    <w:rsid w:val="004C3E95"/>
    <w:rsid w:val="004C4A83"/>
    <w:rsid w:val="004C4CA5"/>
    <w:rsid w:val="004C59A0"/>
    <w:rsid w:val="004C6A04"/>
    <w:rsid w:val="004D2AC5"/>
    <w:rsid w:val="004D4EB0"/>
    <w:rsid w:val="004D5730"/>
    <w:rsid w:val="004D5BE5"/>
    <w:rsid w:val="004D5C9A"/>
    <w:rsid w:val="004D7DDC"/>
    <w:rsid w:val="004E1425"/>
    <w:rsid w:val="004E1B96"/>
    <w:rsid w:val="004E3028"/>
    <w:rsid w:val="004E372C"/>
    <w:rsid w:val="004E399E"/>
    <w:rsid w:val="004E4E18"/>
    <w:rsid w:val="004F183E"/>
    <w:rsid w:val="004F207E"/>
    <w:rsid w:val="004F6E0F"/>
    <w:rsid w:val="0050091E"/>
    <w:rsid w:val="005012B0"/>
    <w:rsid w:val="00502FC5"/>
    <w:rsid w:val="00503758"/>
    <w:rsid w:val="0050494F"/>
    <w:rsid w:val="005076D0"/>
    <w:rsid w:val="00507E17"/>
    <w:rsid w:val="00510E3C"/>
    <w:rsid w:val="0051105E"/>
    <w:rsid w:val="00514671"/>
    <w:rsid w:val="00514840"/>
    <w:rsid w:val="00517477"/>
    <w:rsid w:val="00517590"/>
    <w:rsid w:val="00517F80"/>
    <w:rsid w:val="005239A7"/>
    <w:rsid w:val="00524330"/>
    <w:rsid w:val="0052510A"/>
    <w:rsid w:val="00527853"/>
    <w:rsid w:val="005278AF"/>
    <w:rsid w:val="00530894"/>
    <w:rsid w:val="00530D6B"/>
    <w:rsid w:val="00534D1A"/>
    <w:rsid w:val="0053501A"/>
    <w:rsid w:val="0053639F"/>
    <w:rsid w:val="00540FDD"/>
    <w:rsid w:val="00542842"/>
    <w:rsid w:val="00547866"/>
    <w:rsid w:val="005478C7"/>
    <w:rsid w:val="00547FE5"/>
    <w:rsid w:val="005502DF"/>
    <w:rsid w:val="005526B2"/>
    <w:rsid w:val="00552F51"/>
    <w:rsid w:val="00552FEC"/>
    <w:rsid w:val="00553260"/>
    <w:rsid w:val="005542DF"/>
    <w:rsid w:val="005552D3"/>
    <w:rsid w:val="00555DBE"/>
    <w:rsid w:val="00556478"/>
    <w:rsid w:val="0055650B"/>
    <w:rsid w:val="005624C3"/>
    <w:rsid w:val="00562CF8"/>
    <w:rsid w:val="005637AB"/>
    <w:rsid w:val="00565561"/>
    <w:rsid w:val="00567EEF"/>
    <w:rsid w:val="00570D9B"/>
    <w:rsid w:val="00570EFB"/>
    <w:rsid w:val="0057355E"/>
    <w:rsid w:val="005736A6"/>
    <w:rsid w:val="0057377A"/>
    <w:rsid w:val="00575781"/>
    <w:rsid w:val="00575CC9"/>
    <w:rsid w:val="00582A0B"/>
    <w:rsid w:val="00582CF3"/>
    <w:rsid w:val="00584C10"/>
    <w:rsid w:val="00584DD0"/>
    <w:rsid w:val="00587AF6"/>
    <w:rsid w:val="0059237A"/>
    <w:rsid w:val="00593AD0"/>
    <w:rsid w:val="00594EFC"/>
    <w:rsid w:val="005967B4"/>
    <w:rsid w:val="00597970"/>
    <w:rsid w:val="005A0715"/>
    <w:rsid w:val="005A1D4A"/>
    <w:rsid w:val="005A1FF1"/>
    <w:rsid w:val="005A3D7B"/>
    <w:rsid w:val="005A3F09"/>
    <w:rsid w:val="005A42F1"/>
    <w:rsid w:val="005A62C3"/>
    <w:rsid w:val="005A6EBA"/>
    <w:rsid w:val="005B2B1A"/>
    <w:rsid w:val="005B3387"/>
    <w:rsid w:val="005B46A9"/>
    <w:rsid w:val="005B5587"/>
    <w:rsid w:val="005B5B68"/>
    <w:rsid w:val="005B5C87"/>
    <w:rsid w:val="005B67CE"/>
    <w:rsid w:val="005B7088"/>
    <w:rsid w:val="005C0AD3"/>
    <w:rsid w:val="005C21F0"/>
    <w:rsid w:val="005C4390"/>
    <w:rsid w:val="005C5D2A"/>
    <w:rsid w:val="005C6273"/>
    <w:rsid w:val="005C6760"/>
    <w:rsid w:val="005C752A"/>
    <w:rsid w:val="005C7DF4"/>
    <w:rsid w:val="005D14CC"/>
    <w:rsid w:val="005D1C59"/>
    <w:rsid w:val="005D2D66"/>
    <w:rsid w:val="005D479C"/>
    <w:rsid w:val="005D540E"/>
    <w:rsid w:val="005D5823"/>
    <w:rsid w:val="005D6A27"/>
    <w:rsid w:val="005E0241"/>
    <w:rsid w:val="005E027D"/>
    <w:rsid w:val="005E0635"/>
    <w:rsid w:val="005E2634"/>
    <w:rsid w:val="005E44D0"/>
    <w:rsid w:val="005E5E2C"/>
    <w:rsid w:val="005F117F"/>
    <w:rsid w:val="005F1F31"/>
    <w:rsid w:val="005F1FB1"/>
    <w:rsid w:val="005F25BE"/>
    <w:rsid w:val="005F3A87"/>
    <w:rsid w:val="005F6DBA"/>
    <w:rsid w:val="005F76EE"/>
    <w:rsid w:val="00600060"/>
    <w:rsid w:val="006016F8"/>
    <w:rsid w:val="00601F1C"/>
    <w:rsid w:val="00603616"/>
    <w:rsid w:val="006078F0"/>
    <w:rsid w:val="00610877"/>
    <w:rsid w:val="00613D19"/>
    <w:rsid w:val="006221FD"/>
    <w:rsid w:val="0062351C"/>
    <w:rsid w:val="0063219D"/>
    <w:rsid w:val="0064597F"/>
    <w:rsid w:val="00646B62"/>
    <w:rsid w:val="006519AB"/>
    <w:rsid w:val="00654EA3"/>
    <w:rsid w:val="00656389"/>
    <w:rsid w:val="006611AA"/>
    <w:rsid w:val="00663CEB"/>
    <w:rsid w:val="00665222"/>
    <w:rsid w:val="0066660C"/>
    <w:rsid w:val="006672AD"/>
    <w:rsid w:val="0066788A"/>
    <w:rsid w:val="006715C4"/>
    <w:rsid w:val="00673124"/>
    <w:rsid w:val="006733F9"/>
    <w:rsid w:val="00673674"/>
    <w:rsid w:val="00673C70"/>
    <w:rsid w:val="0067780E"/>
    <w:rsid w:val="0068005C"/>
    <w:rsid w:val="00681091"/>
    <w:rsid w:val="00681868"/>
    <w:rsid w:val="00681EE1"/>
    <w:rsid w:val="00681FAB"/>
    <w:rsid w:val="006826D0"/>
    <w:rsid w:val="006915EC"/>
    <w:rsid w:val="00692D2B"/>
    <w:rsid w:val="006A1947"/>
    <w:rsid w:val="006A2328"/>
    <w:rsid w:val="006A401F"/>
    <w:rsid w:val="006A4B38"/>
    <w:rsid w:val="006A564F"/>
    <w:rsid w:val="006A5B27"/>
    <w:rsid w:val="006A7827"/>
    <w:rsid w:val="006B19F1"/>
    <w:rsid w:val="006B36B8"/>
    <w:rsid w:val="006B5401"/>
    <w:rsid w:val="006B6328"/>
    <w:rsid w:val="006B6774"/>
    <w:rsid w:val="006B6DB4"/>
    <w:rsid w:val="006C1842"/>
    <w:rsid w:val="006C1D88"/>
    <w:rsid w:val="006C3E2D"/>
    <w:rsid w:val="006C3FF1"/>
    <w:rsid w:val="006C51A3"/>
    <w:rsid w:val="006C5732"/>
    <w:rsid w:val="006C760B"/>
    <w:rsid w:val="006D09E3"/>
    <w:rsid w:val="006D171F"/>
    <w:rsid w:val="006D1878"/>
    <w:rsid w:val="006D269A"/>
    <w:rsid w:val="006D490A"/>
    <w:rsid w:val="006D56B6"/>
    <w:rsid w:val="006D5C23"/>
    <w:rsid w:val="006D6DB9"/>
    <w:rsid w:val="006D7A5C"/>
    <w:rsid w:val="006E04F0"/>
    <w:rsid w:val="006E0982"/>
    <w:rsid w:val="006E18EE"/>
    <w:rsid w:val="006E244F"/>
    <w:rsid w:val="006E3D28"/>
    <w:rsid w:val="006E46D7"/>
    <w:rsid w:val="006E6AAF"/>
    <w:rsid w:val="006E753C"/>
    <w:rsid w:val="006E7699"/>
    <w:rsid w:val="006F19CF"/>
    <w:rsid w:val="006F41E6"/>
    <w:rsid w:val="006F76EF"/>
    <w:rsid w:val="006F7C58"/>
    <w:rsid w:val="00700BAC"/>
    <w:rsid w:val="00702E98"/>
    <w:rsid w:val="007044E3"/>
    <w:rsid w:val="00704DC7"/>
    <w:rsid w:val="00705000"/>
    <w:rsid w:val="007068F2"/>
    <w:rsid w:val="007071DE"/>
    <w:rsid w:val="00711740"/>
    <w:rsid w:val="00712700"/>
    <w:rsid w:val="00717C0E"/>
    <w:rsid w:val="00720B5F"/>
    <w:rsid w:val="007222FC"/>
    <w:rsid w:val="0072401F"/>
    <w:rsid w:val="007269F3"/>
    <w:rsid w:val="007277D4"/>
    <w:rsid w:val="00731907"/>
    <w:rsid w:val="0073484F"/>
    <w:rsid w:val="0073539F"/>
    <w:rsid w:val="007428A8"/>
    <w:rsid w:val="00744889"/>
    <w:rsid w:val="007453C6"/>
    <w:rsid w:val="00746A53"/>
    <w:rsid w:val="007500F4"/>
    <w:rsid w:val="00754F0E"/>
    <w:rsid w:val="00756857"/>
    <w:rsid w:val="00763C73"/>
    <w:rsid w:val="00765FB2"/>
    <w:rsid w:val="00767752"/>
    <w:rsid w:val="00770C79"/>
    <w:rsid w:val="007739AF"/>
    <w:rsid w:val="00773ECE"/>
    <w:rsid w:val="00773F79"/>
    <w:rsid w:val="00774F3A"/>
    <w:rsid w:val="00775C3B"/>
    <w:rsid w:val="007763C1"/>
    <w:rsid w:val="00776944"/>
    <w:rsid w:val="00776EFF"/>
    <w:rsid w:val="00780F8B"/>
    <w:rsid w:val="00786748"/>
    <w:rsid w:val="007915E5"/>
    <w:rsid w:val="00794DA7"/>
    <w:rsid w:val="007A5C6A"/>
    <w:rsid w:val="007A7271"/>
    <w:rsid w:val="007A78D2"/>
    <w:rsid w:val="007A79BD"/>
    <w:rsid w:val="007B286E"/>
    <w:rsid w:val="007B4A37"/>
    <w:rsid w:val="007B5327"/>
    <w:rsid w:val="007B59A9"/>
    <w:rsid w:val="007B762B"/>
    <w:rsid w:val="007C0540"/>
    <w:rsid w:val="007C3488"/>
    <w:rsid w:val="007C52C8"/>
    <w:rsid w:val="007C7A68"/>
    <w:rsid w:val="007E6A5A"/>
    <w:rsid w:val="007E7CBA"/>
    <w:rsid w:val="007F35F5"/>
    <w:rsid w:val="007F4A57"/>
    <w:rsid w:val="007F5CD6"/>
    <w:rsid w:val="007F71B9"/>
    <w:rsid w:val="00800C15"/>
    <w:rsid w:val="00801127"/>
    <w:rsid w:val="00803965"/>
    <w:rsid w:val="00806391"/>
    <w:rsid w:val="00810778"/>
    <w:rsid w:val="008112F9"/>
    <w:rsid w:val="008127DB"/>
    <w:rsid w:val="008169B1"/>
    <w:rsid w:val="008208C0"/>
    <w:rsid w:val="00821819"/>
    <w:rsid w:val="00823020"/>
    <w:rsid w:val="008233A8"/>
    <w:rsid w:val="008265E9"/>
    <w:rsid w:val="00836743"/>
    <w:rsid w:val="00842A2F"/>
    <w:rsid w:val="00843445"/>
    <w:rsid w:val="00843CFE"/>
    <w:rsid w:val="00843D4D"/>
    <w:rsid w:val="008448AE"/>
    <w:rsid w:val="008457C5"/>
    <w:rsid w:val="008471C9"/>
    <w:rsid w:val="00847F6F"/>
    <w:rsid w:val="00851247"/>
    <w:rsid w:val="00851EE1"/>
    <w:rsid w:val="00853243"/>
    <w:rsid w:val="00860F75"/>
    <w:rsid w:val="0086425E"/>
    <w:rsid w:val="00864B9B"/>
    <w:rsid w:val="00865E7E"/>
    <w:rsid w:val="00867538"/>
    <w:rsid w:val="00871953"/>
    <w:rsid w:val="008719E7"/>
    <w:rsid w:val="00872FBB"/>
    <w:rsid w:val="0087344E"/>
    <w:rsid w:val="00875A0E"/>
    <w:rsid w:val="00875B39"/>
    <w:rsid w:val="00876106"/>
    <w:rsid w:val="0088157B"/>
    <w:rsid w:val="00883241"/>
    <w:rsid w:val="00884ECD"/>
    <w:rsid w:val="00887604"/>
    <w:rsid w:val="00892DB7"/>
    <w:rsid w:val="008939FC"/>
    <w:rsid w:val="00893AF6"/>
    <w:rsid w:val="00896FD3"/>
    <w:rsid w:val="0089734D"/>
    <w:rsid w:val="008A0651"/>
    <w:rsid w:val="008A1BF3"/>
    <w:rsid w:val="008A2BF9"/>
    <w:rsid w:val="008A40D6"/>
    <w:rsid w:val="008A5AAD"/>
    <w:rsid w:val="008A6565"/>
    <w:rsid w:val="008B09F7"/>
    <w:rsid w:val="008B2388"/>
    <w:rsid w:val="008B3404"/>
    <w:rsid w:val="008B359D"/>
    <w:rsid w:val="008B455C"/>
    <w:rsid w:val="008B5570"/>
    <w:rsid w:val="008B6D7A"/>
    <w:rsid w:val="008B7FBF"/>
    <w:rsid w:val="008C2A28"/>
    <w:rsid w:val="008C31E3"/>
    <w:rsid w:val="008C4C4D"/>
    <w:rsid w:val="008C65EF"/>
    <w:rsid w:val="008C7444"/>
    <w:rsid w:val="008C7F05"/>
    <w:rsid w:val="008D09B1"/>
    <w:rsid w:val="008D0BC5"/>
    <w:rsid w:val="008D0FA8"/>
    <w:rsid w:val="008D1E80"/>
    <w:rsid w:val="008D2777"/>
    <w:rsid w:val="008E0484"/>
    <w:rsid w:val="008E0BE6"/>
    <w:rsid w:val="008E2B98"/>
    <w:rsid w:val="008E2D54"/>
    <w:rsid w:val="008E350D"/>
    <w:rsid w:val="008F0C06"/>
    <w:rsid w:val="008F20DD"/>
    <w:rsid w:val="008F3F7C"/>
    <w:rsid w:val="008F40D4"/>
    <w:rsid w:val="008F4165"/>
    <w:rsid w:val="008F4235"/>
    <w:rsid w:val="008F7670"/>
    <w:rsid w:val="009002AF"/>
    <w:rsid w:val="009035EF"/>
    <w:rsid w:val="00907138"/>
    <w:rsid w:val="00913785"/>
    <w:rsid w:val="00913D51"/>
    <w:rsid w:val="00923DEA"/>
    <w:rsid w:val="00923EAD"/>
    <w:rsid w:val="009242B3"/>
    <w:rsid w:val="00924E0F"/>
    <w:rsid w:val="00924E71"/>
    <w:rsid w:val="0092611F"/>
    <w:rsid w:val="0092652E"/>
    <w:rsid w:val="00926F3F"/>
    <w:rsid w:val="009321A8"/>
    <w:rsid w:val="009337E3"/>
    <w:rsid w:val="00934110"/>
    <w:rsid w:val="009358AE"/>
    <w:rsid w:val="00936766"/>
    <w:rsid w:val="00937012"/>
    <w:rsid w:val="00940AF3"/>
    <w:rsid w:val="009420C3"/>
    <w:rsid w:val="00945DCD"/>
    <w:rsid w:val="00946226"/>
    <w:rsid w:val="00946533"/>
    <w:rsid w:val="009465A7"/>
    <w:rsid w:val="009503EA"/>
    <w:rsid w:val="00951590"/>
    <w:rsid w:val="00951628"/>
    <w:rsid w:val="00952DD3"/>
    <w:rsid w:val="00955727"/>
    <w:rsid w:val="00955F57"/>
    <w:rsid w:val="0095723B"/>
    <w:rsid w:val="00957FE4"/>
    <w:rsid w:val="0096044F"/>
    <w:rsid w:val="00962F59"/>
    <w:rsid w:val="0096369E"/>
    <w:rsid w:val="0096379E"/>
    <w:rsid w:val="00964446"/>
    <w:rsid w:val="009676AC"/>
    <w:rsid w:val="00972765"/>
    <w:rsid w:val="009727FF"/>
    <w:rsid w:val="00974690"/>
    <w:rsid w:val="00974CFB"/>
    <w:rsid w:val="00976C0F"/>
    <w:rsid w:val="009774E1"/>
    <w:rsid w:val="009803D9"/>
    <w:rsid w:val="00980DA7"/>
    <w:rsid w:val="009816E5"/>
    <w:rsid w:val="00982BD7"/>
    <w:rsid w:val="00983048"/>
    <w:rsid w:val="009858A7"/>
    <w:rsid w:val="00985F78"/>
    <w:rsid w:val="00987567"/>
    <w:rsid w:val="00991DF7"/>
    <w:rsid w:val="009925C2"/>
    <w:rsid w:val="009934EF"/>
    <w:rsid w:val="00994455"/>
    <w:rsid w:val="00994D98"/>
    <w:rsid w:val="009951DF"/>
    <w:rsid w:val="00995EA5"/>
    <w:rsid w:val="00995F50"/>
    <w:rsid w:val="0099643E"/>
    <w:rsid w:val="0099710B"/>
    <w:rsid w:val="009A01CE"/>
    <w:rsid w:val="009A0A85"/>
    <w:rsid w:val="009A266D"/>
    <w:rsid w:val="009A3E2B"/>
    <w:rsid w:val="009A6571"/>
    <w:rsid w:val="009A6ED8"/>
    <w:rsid w:val="009B1332"/>
    <w:rsid w:val="009B2229"/>
    <w:rsid w:val="009B3F9F"/>
    <w:rsid w:val="009B5882"/>
    <w:rsid w:val="009C2FC5"/>
    <w:rsid w:val="009C3CD7"/>
    <w:rsid w:val="009C6A8F"/>
    <w:rsid w:val="009C71E5"/>
    <w:rsid w:val="009D10E3"/>
    <w:rsid w:val="009D29C8"/>
    <w:rsid w:val="009D3B46"/>
    <w:rsid w:val="009D51E4"/>
    <w:rsid w:val="009E02A0"/>
    <w:rsid w:val="009E1AB2"/>
    <w:rsid w:val="009E32B2"/>
    <w:rsid w:val="009E47B3"/>
    <w:rsid w:val="009E4C43"/>
    <w:rsid w:val="009E587F"/>
    <w:rsid w:val="009E5BC9"/>
    <w:rsid w:val="009E7151"/>
    <w:rsid w:val="009E75A4"/>
    <w:rsid w:val="009F4921"/>
    <w:rsid w:val="009F4B7B"/>
    <w:rsid w:val="009F4D3C"/>
    <w:rsid w:val="009F5A56"/>
    <w:rsid w:val="009F6FA4"/>
    <w:rsid w:val="009F71DF"/>
    <w:rsid w:val="009F79E2"/>
    <w:rsid w:val="00A00355"/>
    <w:rsid w:val="00A05682"/>
    <w:rsid w:val="00A07C22"/>
    <w:rsid w:val="00A12D94"/>
    <w:rsid w:val="00A1380F"/>
    <w:rsid w:val="00A13C55"/>
    <w:rsid w:val="00A173D6"/>
    <w:rsid w:val="00A17760"/>
    <w:rsid w:val="00A207F9"/>
    <w:rsid w:val="00A2184D"/>
    <w:rsid w:val="00A21B9E"/>
    <w:rsid w:val="00A22273"/>
    <w:rsid w:val="00A24097"/>
    <w:rsid w:val="00A30D48"/>
    <w:rsid w:val="00A3151F"/>
    <w:rsid w:val="00A322CB"/>
    <w:rsid w:val="00A33024"/>
    <w:rsid w:val="00A3313C"/>
    <w:rsid w:val="00A410B2"/>
    <w:rsid w:val="00A41262"/>
    <w:rsid w:val="00A418FC"/>
    <w:rsid w:val="00A42A91"/>
    <w:rsid w:val="00A45811"/>
    <w:rsid w:val="00A5338A"/>
    <w:rsid w:val="00A54F6B"/>
    <w:rsid w:val="00A56A70"/>
    <w:rsid w:val="00A56AEB"/>
    <w:rsid w:val="00A575DF"/>
    <w:rsid w:val="00A57A52"/>
    <w:rsid w:val="00A60723"/>
    <w:rsid w:val="00A659B7"/>
    <w:rsid w:val="00A7045C"/>
    <w:rsid w:val="00A70A71"/>
    <w:rsid w:val="00A76446"/>
    <w:rsid w:val="00A77D35"/>
    <w:rsid w:val="00A814C1"/>
    <w:rsid w:val="00A8330F"/>
    <w:rsid w:val="00A83EF6"/>
    <w:rsid w:val="00A83F9F"/>
    <w:rsid w:val="00A843EF"/>
    <w:rsid w:val="00A847D6"/>
    <w:rsid w:val="00A85A17"/>
    <w:rsid w:val="00A85DC7"/>
    <w:rsid w:val="00A87E74"/>
    <w:rsid w:val="00A90C1C"/>
    <w:rsid w:val="00A90C55"/>
    <w:rsid w:val="00A90FFE"/>
    <w:rsid w:val="00A9201E"/>
    <w:rsid w:val="00A929D2"/>
    <w:rsid w:val="00A93E3D"/>
    <w:rsid w:val="00A95A17"/>
    <w:rsid w:val="00A968AD"/>
    <w:rsid w:val="00A969D3"/>
    <w:rsid w:val="00A96F76"/>
    <w:rsid w:val="00A9727A"/>
    <w:rsid w:val="00A97DEB"/>
    <w:rsid w:val="00AA0602"/>
    <w:rsid w:val="00AA4F6D"/>
    <w:rsid w:val="00AA62B7"/>
    <w:rsid w:val="00AA6D52"/>
    <w:rsid w:val="00AA74C8"/>
    <w:rsid w:val="00AA7D3A"/>
    <w:rsid w:val="00AB4A00"/>
    <w:rsid w:val="00AB4FA3"/>
    <w:rsid w:val="00AB5754"/>
    <w:rsid w:val="00AB6153"/>
    <w:rsid w:val="00AC089F"/>
    <w:rsid w:val="00AC10EA"/>
    <w:rsid w:val="00AC3B88"/>
    <w:rsid w:val="00AC47EC"/>
    <w:rsid w:val="00AC4D7C"/>
    <w:rsid w:val="00AC71A5"/>
    <w:rsid w:val="00AC74E3"/>
    <w:rsid w:val="00AC7B0C"/>
    <w:rsid w:val="00AD00C5"/>
    <w:rsid w:val="00AD01D2"/>
    <w:rsid w:val="00AD0872"/>
    <w:rsid w:val="00AD0AC3"/>
    <w:rsid w:val="00AD157F"/>
    <w:rsid w:val="00AD2009"/>
    <w:rsid w:val="00AD2A6A"/>
    <w:rsid w:val="00AD370C"/>
    <w:rsid w:val="00AD3751"/>
    <w:rsid w:val="00AD41E8"/>
    <w:rsid w:val="00AE06DF"/>
    <w:rsid w:val="00AE180E"/>
    <w:rsid w:val="00AE6022"/>
    <w:rsid w:val="00AE60D9"/>
    <w:rsid w:val="00AF01B7"/>
    <w:rsid w:val="00AF1B47"/>
    <w:rsid w:val="00AF279C"/>
    <w:rsid w:val="00AF4781"/>
    <w:rsid w:val="00AF529F"/>
    <w:rsid w:val="00AF6A55"/>
    <w:rsid w:val="00AF7948"/>
    <w:rsid w:val="00AF7E73"/>
    <w:rsid w:val="00B00FAC"/>
    <w:rsid w:val="00B0450F"/>
    <w:rsid w:val="00B13E63"/>
    <w:rsid w:val="00B14197"/>
    <w:rsid w:val="00B20716"/>
    <w:rsid w:val="00B22456"/>
    <w:rsid w:val="00B323D6"/>
    <w:rsid w:val="00B34476"/>
    <w:rsid w:val="00B37DAC"/>
    <w:rsid w:val="00B41107"/>
    <w:rsid w:val="00B41CEC"/>
    <w:rsid w:val="00B44DEE"/>
    <w:rsid w:val="00B45708"/>
    <w:rsid w:val="00B45962"/>
    <w:rsid w:val="00B46799"/>
    <w:rsid w:val="00B46B3A"/>
    <w:rsid w:val="00B47602"/>
    <w:rsid w:val="00B5256B"/>
    <w:rsid w:val="00B53021"/>
    <w:rsid w:val="00B57448"/>
    <w:rsid w:val="00B579E7"/>
    <w:rsid w:val="00B614A9"/>
    <w:rsid w:val="00B617D8"/>
    <w:rsid w:val="00B61A5F"/>
    <w:rsid w:val="00B62D61"/>
    <w:rsid w:val="00B6326D"/>
    <w:rsid w:val="00B6487F"/>
    <w:rsid w:val="00B65615"/>
    <w:rsid w:val="00B716F5"/>
    <w:rsid w:val="00B73C4F"/>
    <w:rsid w:val="00B74003"/>
    <w:rsid w:val="00B74689"/>
    <w:rsid w:val="00B778C4"/>
    <w:rsid w:val="00B77A4D"/>
    <w:rsid w:val="00B80798"/>
    <w:rsid w:val="00B85222"/>
    <w:rsid w:val="00B86E34"/>
    <w:rsid w:val="00B86F13"/>
    <w:rsid w:val="00B90D3B"/>
    <w:rsid w:val="00B93484"/>
    <w:rsid w:val="00B95A40"/>
    <w:rsid w:val="00B97E13"/>
    <w:rsid w:val="00BA1100"/>
    <w:rsid w:val="00BA168F"/>
    <w:rsid w:val="00BA296A"/>
    <w:rsid w:val="00BA2C1B"/>
    <w:rsid w:val="00BA2E64"/>
    <w:rsid w:val="00BA30AA"/>
    <w:rsid w:val="00BA31C1"/>
    <w:rsid w:val="00BA4353"/>
    <w:rsid w:val="00BA4D5C"/>
    <w:rsid w:val="00BA4E75"/>
    <w:rsid w:val="00BA57C3"/>
    <w:rsid w:val="00BA6183"/>
    <w:rsid w:val="00BB0C3C"/>
    <w:rsid w:val="00BB22A5"/>
    <w:rsid w:val="00BB3AFC"/>
    <w:rsid w:val="00BB3FB0"/>
    <w:rsid w:val="00BC1733"/>
    <w:rsid w:val="00BC1CF4"/>
    <w:rsid w:val="00BC2FAA"/>
    <w:rsid w:val="00BC54A0"/>
    <w:rsid w:val="00BC748C"/>
    <w:rsid w:val="00BD17F5"/>
    <w:rsid w:val="00BD1A80"/>
    <w:rsid w:val="00BD2FAD"/>
    <w:rsid w:val="00BD4A43"/>
    <w:rsid w:val="00BD56F7"/>
    <w:rsid w:val="00BD7A43"/>
    <w:rsid w:val="00BE28C5"/>
    <w:rsid w:val="00BE4C01"/>
    <w:rsid w:val="00BE5900"/>
    <w:rsid w:val="00BE5A89"/>
    <w:rsid w:val="00BE5D65"/>
    <w:rsid w:val="00BE6121"/>
    <w:rsid w:val="00BE6F2B"/>
    <w:rsid w:val="00BE79D5"/>
    <w:rsid w:val="00BF3D78"/>
    <w:rsid w:val="00BF3E43"/>
    <w:rsid w:val="00BF4195"/>
    <w:rsid w:val="00BF5FBC"/>
    <w:rsid w:val="00BF6247"/>
    <w:rsid w:val="00BF68F0"/>
    <w:rsid w:val="00C01094"/>
    <w:rsid w:val="00C02A9E"/>
    <w:rsid w:val="00C05D51"/>
    <w:rsid w:val="00C05FC0"/>
    <w:rsid w:val="00C07FE5"/>
    <w:rsid w:val="00C11C06"/>
    <w:rsid w:val="00C13312"/>
    <w:rsid w:val="00C151D6"/>
    <w:rsid w:val="00C1540D"/>
    <w:rsid w:val="00C15AD8"/>
    <w:rsid w:val="00C16A0D"/>
    <w:rsid w:val="00C212D2"/>
    <w:rsid w:val="00C22163"/>
    <w:rsid w:val="00C2274D"/>
    <w:rsid w:val="00C26D55"/>
    <w:rsid w:val="00C313BB"/>
    <w:rsid w:val="00C326A6"/>
    <w:rsid w:val="00C32772"/>
    <w:rsid w:val="00C32B2A"/>
    <w:rsid w:val="00C34E0F"/>
    <w:rsid w:val="00C3592F"/>
    <w:rsid w:val="00C36E74"/>
    <w:rsid w:val="00C423B9"/>
    <w:rsid w:val="00C4446F"/>
    <w:rsid w:val="00C4488D"/>
    <w:rsid w:val="00C47918"/>
    <w:rsid w:val="00C52074"/>
    <w:rsid w:val="00C521B8"/>
    <w:rsid w:val="00C60354"/>
    <w:rsid w:val="00C61B32"/>
    <w:rsid w:val="00C62DE1"/>
    <w:rsid w:val="00C63304"/>
    <w:rsid w:val="00C63A8F"/>
    <w:rsid w:val="00C65D7B"/>
    <w:rsid w:val="00C662B2"/>
    <w:rsid w:val="00C66B98"/>
    <w:rsid w:val="00C67F7C"/>
    <w:rsid w:val="00C7090A"/>
    <w:rsid w:val="00C7196C"/>
    <w:rsid w:val="00C72280"/>
    <w:rsid w:val="00C723EE"/>
    <w:rsid w:val="00C72A32"/>
    <w:rsid w:val="00C73DCC"/>
    <w:rsid w:val="00C74AC7"/>
    <w:rsid w:val="00C74D10"/>
    <w:rsid w:val="00C7549A"/>
    <w:rsid w:val="00C7603E"/>
    <w:rsid w:val="00C76899"/>
    <w:rsid w:val="00C76BD5"/>
    <w:rsid w:val="00C80D86"/>
    <w:rsid w:val="00C8491D"/>
    <w:rsid w:val="00C85A01"/>
    <w:rsid w:val="00C86D66"/>
    <w:rsid w:val="00C874CD"/>
    <w:rsid w:val="00C908A5"/>
    <w:rsid w:val="00C910C9"/>
    <w:rsid w:val="00C92513"/>
    <w:rsid w:val="00C92573"/>
    <w:rsid w:val="00C92771"/>
    <w:rsid w:val="00C93D15"/>
    <w:rsid w:val="00C96128"/>
    <w:rsid w:val="00C96539"/>
    <w:rsid w:val="00CA0012"/>
    <w:rsid w:val="00CA03E3"/>
    <w:rsid w:val="00CA3156"/>
    <w:rsid w:val="00CA36D2"/>
    <w:rsid w:val="00CA4E64"/>
    <w:rsid w:val="00CA5DFA"/>
    <w:rsid w:val="00CA6044"/>
    <w:rsid w:val="00CA60E7"/>
    <w:rsid w:val="00CA7B1F"/>
    <w:rsid w:val="00CB1624"/>
    <w:rsid w:val="00CB2CE1"/>
    <w:rsid w:val="00CB3971"/>
    <w:rsid w:val="00CB4561"/>
    <w:rsid w:val="00CB6935"/>
    <w:rsid w:val="00CC060B"/>
    <w:rsid w:val="00CC06F3"/>
    <w:rsid w:val="00CC082A"/>
    <w:rsid w:val="00CC1E98"/>
    <w:rsid w:val="00CC4182"/>
    <w:rsid w:val="00CC78FA"/>
    <w:rsid w:val="00CD0FD7"/>
    <w:rsid w:val="00CD120E"/>
    <w:rsid w:val="00CD25A9"/>
    <w:rsid w:val="00CD3B8A"/>
    <w:rsid w:val="00CD46D4"/>
    <w:rsid w:val="00CD603C"/>
    <w:rsid w:val="00CD6D53"/>
    <w:rsid w:val="00CE0D56"/>
    <w:rsid w:val="00CE4A22"/>
    <w:rsid w:val="00CE4A71"/>
    <w:rsid w:val="00CE5578"/>
    <w:rsid w:val="00CE55DA"/>
    <w:rsid w:val="00CE6491"/>
    <w:rsid w:val="00CF03CE"/>
    <w:rsid w:val="00CF0737"/>
    <w:rsid w:val="00CF2B9B"/>
    <w:rsid w:val="00CF3477"/>
    <w:rsid w:val="00CF562C"/>
    <w:rsid w:val="00CF6F08"/>
    <w:rsid w:val="00D0098D"/>
    <w:rsid w:val="00D033B3"/>
    <w:rsid w:val="00D046CA"/>
    <w:rsid w:val="00D06656"/>
    <w:rsid w:val="00D102D8"/>
    <w:rsid w:val="00D1302F"/>
    <w:rsid w:val="00D13DFD"/>
    <w:rsid w:val="00D14E55"/>
    <w:rsid w:val="00D21DC8"/>
    <w:rsid w:val="00D22D2A"/>
    <w:rsid w:val="00D22F17"/>
    <w:rsid w:val="00D2380A"/>
    <w:rsid w:val="00D256EE"/>
    <w:rsid w:val="00D2707C"/>
    <w:rsid w:val="00D335BB"/>
    <w:rsid w:val="00D35205"/>
    <w:rsid w:val="00D3566B"/>
    <w:rsid w:val="00D361B9"/>
    <w:rsid w:val="00D36B0E"/>
    <w:rsid w:val="00D37A6C"/>
    <w:rsid w:val="00D40597"/>
    <w:rsid w:val="00D41DD2"/>
    <w:rsid w:val="00D42CCF"/>
    <w:rsid w:val="00D42E87"/>
    <w:rsid w:val="00D43A6E"/>
    <w:rsid w:val="00D45553"/>
    <w:rsid w:val="00D45BEC"/>
    <w:rsid w:val="00D46C14"/>
    <w:rsid w:val="00D50224"/>
    <w:rsid w:val="00D511E8"/>
    <w:rsid w:val="00D513D9"/>
    <w:rsid w:val="00D530BA"/>
    <w:rsid w:val="00D543AD"/>
    <w:rsid w:val="00D55094"/>
    <w:rsid w:val="00D61748"/>
    <w:rsid w:val="00D6345D"/>
    <w:rsid w:val="00D6395A"/>
    <w:rsid w:val="00D64796"/>
    <w:rsid w:val="00D715E4"/>
    <w:rsid w:val="00D73B08"/>
    <w:rsid w:val="00D74AFF"/>
    <w:rsid w:val="00D75EF4"/>
    <w:rsid w:val="00D816F6"/>
    <w:rsid w:val="00D822F3"/>
    <w:rsid w:val="00D827DA"/>
    <w:rsid w:val="00D83418"/>
    <w:rsid w:val="00D838D2"/>
    <w:rsid w:val="00D922F1"/>
    <w:rsid w:val="00D92A3B"/>
    <w:rsid w:val="00D96973"/>
    <w:rsid w:val="00D97AB2"/>
    <w:rsid w:val="00DA0113"/>
    <w:rsid w:val="00DA162C"/>
    <w:rsid w:val="00DA1F11"/>
    <w:rsid w:val="00DA3935"/>
    <w:rsid w:val="00DB084C"/>
    <w:rsid w:val="00DB139E"/>
    <w:rsid w:val="00DB354F"/>
    <w:rsid w:val="00DC1041"/>
    <w:rsid w:val="00DC1A86"/>
    <w:rsid w:val="00DC24E5"/>
    <w:rsid w:val="00DC59F4"/>
    <w:rsid w:val="00DD1426"/>
    <w:rsid w:val="00DD1440"/>
    <w:rsid w:val="00DD174E"/>
    <w:rsid w:val="00DD197D"/>
    <w:rsid w:val="00DD547B"/>
    <w:rsid w:val="00DD6658"/>
    <w:rsid w:val="00DD697D"/>
    <w:rsid w:val="00DD7B36"/>
    <w:rsid w:val="00DE44B8"/>
    <w:rsid w:val="00DE6F47"/>
    <w:rsid w:val="00DE77A9"/>
    <w:rsid w:val="00DF133E"/>
    <w:rsid w:val="00DF14B0"/>
    <w:rsid w:val="00DF5CE0"/>
    <w:rsid w:val="00DF6A3E"/>
    <w:rsid w:val="00E01A9F"/>
    <w:rsid w:val="00E03531"/>
    <w:rsid w:val="00E05238"/>
    <w:rsid w:val="00E06D79"/>
    <w:rsid w:val="00E0741B"/>
    <w:rsid w:val="00E07AA3"/>
    <w:rsid w:val="00E10A2B"/>
    <w:rsid w:val="00E1484F"/>
    <w:rsid w:val="00E15255"/>
    <w:rsid w:val="00E175E0"/>
    <w:rsid w:val="00E215DB"/>
    <w:rsid w:val="00E22B4F"/>
    <w:rsid w:val="00E22D0D"/>
    <w:rsid w:val="00E23E75"/>
    <w:rsid w:val="00E246B7"/>
    <w:rsid w:val="00E24874"/>
    <w:rsid w:val="00E26180"/>
    <w:rsid w:val="00E273A1"/>
    <w:rsid w:val="00E30D51"/>
    <w:rsid w:val="00E32156"/>
    <w:rsid w:val="00E32EBC"/>
    <w:rsid w:val="00E335D6"/>
    <w:rsid w:val="00E35B89"/>
    <w:rsid w:val="00E36E1E"/>
    <w:rsid w:val="00E413BC"/>
    <w:rsid w:val="00E446D6"/>
    <w:rsid w:val="00E44EA9"/>
    <w:rsid w:val="00E46761"/>
    <w:rsid w:val="00E4683F"/>
    <w:rsid w:val="00E517F1"/>
    <w:rsid w:val="00E53E6E"/>
    <w:rsid w:val="00E56B68"/>
    <w:rsid w:val="00E60FEB"/>
    <w:rsid w:val="00E6387C"/>
    <w:rsid w:val="00E63CF0"/>
    <w:rsid w:val="00E6708B"/>
    <w:rsid w:val="00E672E7"/>
    <w:rsid w:val="00E718B9"/>
    <w:rsid w:val="00E745F4"/>
    <w:rsid w:val="00E75B2C"/>
    <w:rsid w:val="00E761F1"/>
    <w:rsid w:val="00E76697"/>
    <w:rsid w:val="00E82EAD"/>
    <w:rsid w:val="00E83554"/>
    <w:rsid w:val="00E835CC"/>
    <w:rsid w:val="00E84837"/>
    <w:rsid w:val="00E864F1"/>
    <w:rsid w:val="00E902FE"/>
    <w:rsid w:val="00E91B1E"/>
    <w:rsid w:val="00E92443"/>
    <w:rsid w:val="00E92E0F"/>
    <w:rsid w:val="00E932A8"/>
    <w:rsid w:val="00E96193"/>
    <w:rsid w:val="00E96BDC"/>
    <w:rsid w:val="00E97444"/>
    <w:rsid w:val="00EA003F"/>
    <w:rsid w:val="00EA2523"/>
    <w:rsid w:val="00EA2CB8"/>
    <w:rsid w:val="00EA3906"/>
    <w:rsid w:val="00EA3B8F"/>
    <w:rsid w:val="00EA4D4D"/>
    <w:rsid w:val="00EB0A01"/>
    <w:rsid w:val="00EB1C00"/>
    <w:rsid w:val="00EB1C0F"/>
    <w:rsid w:val="00EB3D96"/>
    <w:rsid w:val="00EB4942"/>
    <w:rsid w:val="00EB71E2"/>
    <w:rsid w:val="00EC0C2E"/>
    <w:rsid w:val="00EC2060"/>
    <w:rsid w:val="00EC309A"/>
    <w:rsid w:val="00EC4E62"/>
    <w:rsid w:val="00EC567C"/>
    <w:rsid w:val="00EC57A4"/>
    <w:rsid w:val="00EC6AD3"/>
    <w:rsid w:val="00ED0179"/>
    <w:rsid w:val="00ED235E"/>
    <w:rsid w:val="00ED2B35"/>
    <w:rsid w:val="00ED3498"/>
    <w:rsid w:val="00ED4490"/>
    <w:rsid w:val="00EE0037"/>
    <w:rsid w:val="00EE0B2F"/>
    <w:rsid w:val="00EE21A1"/>
    <w:rsid w:val="00EE3367"/>
    <w:rsid w:val="00EE3BC1"/>
    <w:rsid w:val="00EE5F03"/>
    <w:rsid w:val="00EF0880"/>
    <w:rsid w:val="00EF1098"/>
    <w:rsid w:val="00EF1101"/>
    <w:rsid w:val="00EF15B9"/>
    <w:rsid w:val="00EF1A75"/>
    <w:rsid w:val="00EF6E64"/>
    <w:rsid w:val="00EF769B"/>
    <w:rsid w:val="00F011CA"/>
    <w:rsid w:val="00F01BF3"/>
    <w:rsid w:val="00F02CF0"/>
    <w:rsid w:val="00F03231"/>
    <w:rsid w:val="00F0423A"/>
    <w:rsid w:val="00F04B15"/>
    <w:rsid w:val="00F053CF"/>
    <w:rsid w:val="00F10248"/>
    <w:rsid w:val="00F10976"/>
    <w:rsid w:val="00F110D9"/>
    <w:rsid w:val="00F1119C"/>
    <w:rsid w:val="00F12F2B"/>
    <w:rsid w:val="00F13456"/>
    <w:rsid w:val="00F14449"/>
    <w:rsid w:val="00F15CE9"/>
    <w:rsid w:val="00F16871"/>
    <w:rsid w:val="00F168A5"/>
    <w:rsid w:val="00F169EF"/>
    <w:rsid w:val="00F1780B"/>
    <w:rsid w:val="00F17E1C"/>
    <w:rsid w:val="00F201DD"/>
    <w:rsid w:val="00F20792"/>
    <w:rsid w:val="00F208B5"/>
    <w:rsid w:val="00F257F2"/>
    <w:rsid w:val="00F27C8A"/>
    <w:rsid w:val="00F30C45"/>
    <w:rsid w:val="00F33610"/>
    <w:rsid w:val="00F40E06"/>
    <w:rsid w:val="00F433E9"/>
    <w:rsid w:val="00F44A0D"/>
    <w:rsid w:val="00F45AF0"/>
    <w:rsid w:val="00F46767"/>
    <w:rsid w:val="00F47C88"/>
    <w:rsid w:val="00F5114F"/>
    <w:rsid w:val="00F520BF"/>
    <w:rsid w:val="00F52AD6"/>
    <w:rsid w:val="00F5309E"/>
    <w:rsid w:val="00F53242"/>
    <w:rsid w:val="00F572AD"/>
    <w:rsid w:val="00F57E42"/>
    <w:rsid w:val="00F57E9C"/>
    <w:rsid w:val="00F6024F"/>
    <w:rsid w:val="00F61776"/>
    <w:rsid w:val="00F61929"/>
    <w:rsid w:val="00F61FC3"/>
    <w:rsid w:val="00F658BD"/>
    <w:rsid w:val="00F71497"/>
    <w:rsid w:val="00F7372B"/>
    <w:rsid w:val="00F74045"/>
    <w:rsid w:val="00F74C3F"/>
    <w:rsid w:val="00F76185"/>
    <w:rsid w:val="00F80D29"/>
    <w:rsid w:val="00F85296"/>
    <w:rsid w:val="00F87074"/>
    <w:rsid w:val="00F909DC"/>
    <w:rsid w:val="00F9424D"/>
    <w:rsid w:val="00F966CC"/>
    <w:rsid w:val="00F96A32"/>
    <w:rsid w:val="00FA00DE"/>
    <w:rsid w:val="00FA0982"/>
    <w:rsid w:val="00FA0FB3"/>
    <w:rsid w:val="00FA1108"/>
    <w:rsid w:val="00FA2EBA"/>
    <w:rsid w:val="00FA5D2E"/>
    <w:rsid w:val="00FA7B63"/>
    <w:rsid w:val="00FB2BB4"/>
    <w:rsid w:val="00FB351E"/>
    <w:rsid w:val="00FC0652"/>
    <w:rsid w:val="00FC075B"/>
    <w:rsid w:val="00FC41C6"/>
    <w:rsid w:val="00FC41EC"/>
    <w:rsid w:val="00FC679C"/>
    <w:rsid w:val="00FC746C"/>
    <w:rsid w:val="00FC79A1"/>
    <w:rsid w:val="00FD218D"/>
    <w:rsid w:val="00FD4B2F"/>
    <w:rsid w:val="00FD57D3"/>
    <w:rsid w:val="00FD59CC"/>
    <w:rsid w:val="00FD69C7"/>
    <w:rsid w:val="00FE00EA"/>
    <w:rsid w:val="00FE5532"/>
    <w:rsid w:val="00FE562A"/>
    <w:rsid w:val="00FE58F4"/>
    <w:rsid w:val="00FF086D"/>
    <w:rsid w:val="00FF13A8"/>
    <w:rsid w:val="00FF4A4C"/>
    <w:rsid w:val="00FF4FC8"/>
    <w:rsid w:val="00FF5815"/>
    <w:rsid w:val="00FF7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0DA7"/>
    <w:pPr>
      <w:spacing w:after="200" w:line="276" w:lineRule="auto"/>
    </w:pPr>
    <w:rPr>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980DA7"/>
    <w:rPr>
      <w:rFonts w:cs="Times New Roman"/>
      <w:color w:val="0000FF"/>
      <w:u w:val="single"/>
    </w:rPr>
  </w:style>
  <w:style w:type="paragraph" w:styleId="Testofumetto">
    <w:name w:val="Balloon Text"/>
    <w:basedOn w:val="Normale"/>
    <w:link w:val="BalloonTextChar"/>
    <w:uiPriority w:val="99"/>
    <w:semiHidden/>
    <w:rsid w:val="00980DA7"/>
    <w:pPr>
      <w:spacing w:after="0" w:line="240" w:lineRule="auto"/>
    </w:pPr>
    <w:rPr>
      <w:rFonts w:ascii="Tahoma" w:hAnsi="Tahoma" w:cs="Tahoma"/>
      <w:sz w:val="16"/>
      <w:szCs w:val="16"/>
    </w:rPr>
  </w:style>
  <w:style w:type="character" w:customStyle="1" w:styleId="BalloonTextChar">
    <w:name w:val="Balloon Text Char"/>
    <w:basedOn w:val="Carpredefinitoparagrafo"/>
    <w:link w:val="Testofumetto"/>
    <w:uiPriority w:val="99"/>
    <w:semiHidden/>
    <w:locked/>
    <w:rsid w:val="00980DA7"/>
    <w:rPr>
      <w:rFonts w:ascii="Tahoma" w:eastAsia="Times New Roman" w:hAnsi="Tahoma" w:cs="Tahoma"/>
      <w:sz w:val="16"/>
      <w:szCs w:val="16"/>
      <w:lang w:val="en-US"/>
    </w:rPr>
  </w:style>
  <w:style w:type="paragraph" w:styleId="Testonotaapidipagina">
    <w:name w:val="footnote text"/>
    <w:basedOn w:val="Normale"/>
    <w:link w:val="FootnoteTextChar"/>
    <w:uiPriority w:val="99"/>
    <w:rsid w:val="00980DA7"/>
    <w:pPr>
      <w:spacing w:after="0" w:line="240" w:lineRule="auto"/>
    </w:pPr>
    <w:rPr>
      <w:sz w:val="20"/>
      <w:szCs w:val="20"/>
    </w:rPr>
  </w:style>
  <w:style w:type="character" w:customStyle="1" w:styleId="FootnoteTextChar">
    <w:name w:val="Footnote Text Char"/>
    <w:basedOn w:val="Carpredefinitoparagrafo"/>
    <w:link w:val="Testonotaapidipagina"/>
    <w:uiPriority w:val="99"/>
    <w:locked/>
    <w:rsid w:val="00980DA7"/>
    <w:rPr>
      <w:rFonts w:ascii="Calibri" w:eastAsia="Times New Roman" w:hAnsi="Calibri" w:cs="Times New Roman"/>
      <w:sz w:val="20"/>
      <w:szCs w:val="20"/>
      <w:lang w:val="en-US"/>
    </w:rPr>
  </w:style>
  <w:style w:type="paragraph" w:styleId="PreformattatoHTML">
    <w:name w:val="HTML Preformatted"/>
    <w:basedOn w:val="Normale"/>
    <w:link w:val="HTMLPreformattedChar"/>
    <w:uiPriority w:val="99"/>
    <w:rsid w:val="009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Carpredefinitoparagrafo"/>
    <w:link w:val="PreformattatoHTML"/>
    <w:uiPriority w:val="99"/>
    <w:locked/>
    <w:rsid w:val="00980DA7"/>
    <w:rPr>
      <w:rFonts w:ascii="Courier New" w:hAnsi="Courier New" w:cs="Courier New"/>
      <w:sz w:val="20"/>
      <w:szCs w:val="20"/>
      <w:lang w:val="en-US"/>
    </w:rPr>
  </w:style>
  <w:style w:type="paragraph" w:styleId="Intestazione">
    <w:name w:val="header"/>
    <w:basedOn w:val="Normale"/>
    <w:link w:val="HeaderChar"/>
    <w:uiPriority w:val="99"/>
    <w:rsid w:val="00980DA7"/>
    <w:pPr>
      <w:tabs>
        <w:tab w:val="center" w:pos="4513"/>
        <w:tab w:val="right" w:pos="9026"/>
      </w:tabs>
      <w:spacing w:after="0" w:line="240" w:lineRule="auto"/>
    </w:pPr>
  </w:style>
  <w:style w:type="character" w:customStyle="1" w:styleId="HeaderChar">
    <w:name w:val="Header Char"/>
    <w:basedOn w:val="Carpredefinitoparagrafo"/>
    <w:link w:val="Intestazione"/>
    <w:uiPriority w:val="99"/>
    <w:locked/>
    <w:rsid w:val="00980DA7"/>
    <w:rPr>
      <w:rFonts w:ascii="Calibri" w:eastAsia="Times New Roman" w:hAnsi="Calibri" w:cs="Times New Roman"/>
      <w:lang w:val="en-US"/>
    </w:rPr>
  </w:style>
  <w:style w:type="paragraph" w:styleId="Pidipagina">
    <w:name w:val="footer"/>
    <w:basedOn w:val="Normale"/>
    <w:link w:val="FooterChar"/>
    <w:uiPriority w:val="99"/>
    <w:rsid w:val="00980DA7"/>
    <w:pPr>
      <w:tabs>
        <w:tab w:val="center" w:pos="4513"/>
        <w:tab w:val="right" w:pos="9026"/>
      </w:tabs>
      <w:spacing w:after="0" w:line="240" w:lineRule="auto"/>
    </w:pPr>
  </w:style>
  <w:style w:type="character" w:customStyle="1" w:styleId="FooterChar">
    <w:name w:val="Footer Char"/>
    <w:basedOn w:val="Carpredefinitoparagrafo"/>
    <w:link w:val="Pidipagina"/>
    <w:uiPriority w:val="99"/>
    <w:locked/>
    <w:rsid w:val="00980DA7"/>
    <w:rPr>
      <w:rFonts w:ascii="Calibri" w:eastAsia="Times New Roman" w:hAnsi="Calibri" w:cs="Times New Roman"/>
      <w:lang w:val="en-US"/>
    </w:rPr>
  </w:style>
  <w:style w:type="character" w:styleId="Rimandonotaapidipagina">
    <w:name w:val="footnote reference"/>
    <w:basedOn w:val="Carpredefinitoparagrafo"/>
    <w:uiPriority w:val="99"/>
    <w:semiHidden/>
    <w:rsid w:val="0014615B"/>
    <w:rPr>
      <w:rFonts w:cs="Times New Roman"/>
      <w:vertAlign w:val="superscript"/>
    </w:rPr>
  </w:style>
  <w:style w:type="paragraph" w:styleId="Paragrafoelenco">
    <w:name w:val="List Paragraph"/>
    <w:basedOn w:val="Normale"/>
    <w:uiPriority w:val="34"/>
    <w:qFormat/>
    <w:rsid w:val="0014615B"/>
    <w:pPr>
      <w:ind w:left="720"/>
      <w:contextualSpacing/>
    </w:pPr>
  </w:style>
  <w:style w:type="character" w:styleId="Testosegnaposto">
    <w:name w:val="Placeholder Text"/>
    <w:basedOn w:val="Carpredefinitoparagrafo"/>
    <w:uiPriority w:val="99"/>
    <w:rsid w:val="00A00355"/>
    <w:rPr>
      <w:rFonts w:cs="Times New Roman"/>
      <w:color w:val="808080"/>
    </w:rPr>
  </w:style>
  <w:style w:type="character" w:styleId="Rimandocommento">
    <w:name w:val="annotation reference"/>
    <w:basedOn w:val="Carpredefinitoparagrafo"/>
    <w:uiPriority w:val="99"/>
    <w:semiHidden/>
    <w:unhideWhenUsed/>
    <w:rsid w:val="005502DF"/>
    <w:rPr>
      <w:sz w:val="16"/>
      <w:szCs w:val="16"/>
    </w:rPr>
  </w:style>
  <w:style w:type="paragraph" w:styleId="Testocommento">
    <w:name w:val="annotation text"/>
    <w:basedOn w:val="Normale"/>
    <w:link w:val="CommentTextChar"/>
    <w:uiPriority w:val="99"/>
    <w:semiHidden/>
    <w:unhideWhenUsed/>
    <w:rsid w:val="005502DF"/>
    <w:rPr>
      <w:sz w:val="20"/>
      <w:szCs w:val="20"/>
    </w:rPr>
  </w:style>
  <w:style w:type="character" w:customStyle="1" w:styleId="CommentTextChar">
    <w:name w:val="Comment Text Char"/>
    <w:basedOn w:val="Carpredefinitoparagrafo"/>
    <w:link w:val="Testocommento"/>
    <w:uiPriority w:val="99"/>
    <w:semiHidden/>
    <w:rsid w:val="005502DF"/>
    <w:rPr>
      <w:sz w:val="20"/>
      <w:szCs w:val="20"/>
    </w:rPr>
  </w:style>
  <w:style w:type="paragraph" w:styleId="Soggettocommento">
    <w:name w:val="annotation subject"/>
    <w:basedOn w:val="Testocommento"/>
    <w:next w:val="Testocommento"/>
    <w:link w:val="CommentSubjectChar"/>
    <w:uiPriority w:val="99"/>
    <w:semiHidden/>
    <w:unhideWhenUsed/>
    <w:rsid w:val="005502DF"/>
    <w:rPr>
      <w:b/>
      <w:bCs/>
    </w:rPr>
  </w:style>
  <w:style w:type="character" w:customStyle="1" w:styleId="CommentSubjectChar">
    <w:name w:val="Comment Subject Char"/>
    <w:basedOn w:val="CommentTextChar"/>
    <w:link w:val="Soggettocommento"/>
    <w:uiPriority w:val="99"/>
    <w:semiHidden/>
    <w:rsid w:val="005502DF"/>
    <w:rPr>
      <w:b/>
      <w:bCs/>
      <w:sz w:val="20"/>
      <w:szCs w:val="20"/>
    </w:rPr>
  </w:style>
  <w:style w:type="paragraph" w:styleId="Testonotadichiusura">
    <w:name w:val="endnote text"/>
    <w:basedOn w:val="Normale"/>
    <w:link w:val="EndnoteTextChar"/>
    <w:uiPriority w:val="99"/>
    <w:semiHidden/>
    <w:unhideWhenUsed/>
    <w:rsid w:val="006611AA"/>
    <w:pPr>
      <w:spacing w:after="0" w:line="240" w:lineRule="auto"/>
    </w:pPr>
    <w:rPr>
      <w:sz w:val="20"/>
      <w:szCs w:val="20"/>
    </w:rPr>
  </w:style>
  <w:style w:type="character" w:customStyle="1" w:styleId="EndnoteTextChar">
    <w:name w:val="Endnote Text Char"/>
    <w:basedOn w:val="Carpredefinitoparagrafo"/>
    <w:link w:val="Testonotadichiusura"/>
    <w:uiPriority w:val="99"/>
    <w:semiHidden/>
    <w:rsid w:val="006611AA"/>
    <w:rPr>
      <w:lang w:val="en-US" w:eastAsia="en-US"/>
    </w:rPr>
  </w:style>
  <w:style w:type="character" w:styleId="Rimandonotadichiusura">
    <w:name w:val="endnote reference"/>
    <w:basedOn w:val="Carpredefinitoparagrafo"/>
    <w:uiPriority w:val="99"/>
    <w:semiHidden/>
    <w:unhideWhenUsed/>
    <w:rsid w:val="006611AA"/>
    <w:rPr>
      <w:vertAlign w:val="superscript"/>
    </w:rPr>
  </w:style>
  <w:style w:type="paragraph" w:styleId="Puntoelenco">
    <w:name w:val="List Bullet"/>
    <w:basedOn w:val="Normale"/>
    <w:uiPriority w:val="99"/>
    <w:unhideWhenUsed/>
    <w:rsid w:val="00325225"/>
    <w:pPr>
      <w:numPr>
        <w:numId w:val="9"/>
      </w:numPr>
      <w:contextualSpacing/>
    </w:pPr>
  </w:style>
  <w:style w:type="character" w:styleId="Collegamentovisitato">
    <w:name w:val="FollowedHyperlink"/>
    <w:basedOn w:val="Carpredefinitoparagrafo"/>
    <w:uiPriority w:val="99"/>
    <w:semiHidden/>
    <w:unhideWhenUsed/>
    <w:rsid w:val="00F02CF0"/>
    <w:rPr>
      <w:color w:val="800080" w:themeColor="followedHyperlink"/>
      <w:u w:val="single"/>
    </w:rPr>
  </w:style>
  <w:style w:type="character" w:customStyle="1" w:styleId="hit">
    <w:name w:val="hit"/>
    <w:basedOn w:val="Carpredefinitoparagrafo"/>
    <w:rsid w:val="004F183E"/>
  </w:style>
  <w:style w:type="character" w:customStyle="1" w:styleId="italic">
    <w:name w:val="italic"/>
    <w:basedOn w:val="Carpredefinitoparagrafo"/>
    <w:rsid w:val="00E074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0DA7"/>
    <w:pPr>
      <w:spacing w:after="200" w:line="276" w:lineRule="auto"/>
    </w:pPr>
    <w:rPr>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980DA7"/>
    <w:rPr>
      <w:rFonts w:cs="Times New Roman"/>
      <w:color w:val="0000FF"/>
      <w:u w:val="single"/>
    </w:rPr>
  </w:style>
  <w:style w:type="paragraph" w:styleId="Testofumetto">
    <w:name w:val="Balloon Text"/>
    <w:basedOn w:val="Normale"/>
    <w:link w:val="BalloonTextChar"/>
    <w:uiPriority w:val="99"/>
    <w:semiHidden/>
    <w:rsid w:val="00980DA7"/>
    <w:pPr>
      <w:spacing w:after="0" w:line="240" w:lineRule="auto"/>
    </w:pPr>
    <w:rPr>
      <w:rFonts w:ascii="Tahoma" w:hAnsi="Tahoma" w:cs="Tahoma"/>
      <w:sz w:val="16"/>
      <w:szCs w:val="16"/>
    </w:rPr>
  </w:style>
  <w:style w:type="character" w:customStyle="1" w:styleId="BalloonTextChar">
    <w:name w:val="Balloon Text Char"/>
    <w:basedOn w:val="Carpredefinitoparagrafo"/>
    <w:link w:val="Testofumetto"/>
    <w:uiPriority w:val="99"/>
    <w:semiHidden/>
    <w:locked/>
    <w:rsid w:val="00980DA7"/>
    <w:rPr>
      <w:rFonts w:ascii="Tahoma" w:eastAsia="Times New Roman" w:hAnsi="Tahoma" w:cs="Tahoma"/>
      <w:sz w:val="16"/>
      <w:szCs w:val="16"/>
      <w:lang w:val="en-US"/>
    </w:rPr>
  </w:style>
  <w:style w:type="paragraph" w:styleId="Testonotaapidipagina">
    <w:name w:val="footnote text"/>
    <w:basedOn w:val="Normale"/>
    <w:link w:val="FootnoteTextChar"/>
    <w:uiPriority w:val="99"/>
    <w:rsid w:val="00980DA7"/>
    <w:pPr>
      <w:spacing w:after="0" w:line="240" w:lineRule="auto"/>
    </w:pPr>
    <w:rPr>
      <w:sz w:val="20"/>
      <w:szCs w:val="20"/>
    </w:rPr>
  </w:style>
  <w:style w:type="character" w:customStyle="1" w:styleId="FootnoteTextChar">
    <w:name w:val="Footnote Text Char"/>
    <w:basedOn w:val="Carpredefinitoparagrafo"/>
    <w:link w:val="Testonotaapidipagina"/>
    <w:uiPriority w:val="99"/>
    <w:locked/>
    <w:rsid w:val="00980DA7"/>
    <w:rPr>
      <w:rFonts w:ascii="Calibri" w:eastAsia="Times New Roman" w:hAnsi="Calibri" w:cs="Times New Roman"/>
      <w:sz w:val="20"/>
      <w:szCs w:val="20"/>
      <w:lang w:val="en-US"/>
    </w:rPr>
  </w:style>
  <w:style w:type="paragraph" w:styleId="PreformattatoHTML">
    <w:name w:val="HTML Preformatted"/>
    <w:basedOn w:val="Normale"/>
    <w:link w:val="HTMLPreformattedChar"/>
    <w:uiPriority w:val="99"/>
    <w:rsid w:val="009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Carpredefinitoparagrafo"/>
    <w:link w:val="PreformattatoHTML"/>
    <w:uiPriority w:val="99"/>
    <w:locked/>
    <w:rsid w:val="00980DA7"/>
    <w:rPr>
      <w:rFonts w:ascii="Courier New" w:hAnsi="Courier New" w:cs="Courier New"/>
      <w:sz w:val="20"/>
      <w:szCs w:val="20"/>
      <w:lang w:val="en-US"/>
    </w:rPr>
  </w:style>
  <w:style w:type="paragraph" w:styleId="Intestazione">
    <w:name w:val="header"/>
    <w:basedOn w:val="Normale"/>
    <w:link w:val="HeaderChar"/>
    <w:uiPriority w:val="99"/>
    <w:rsid w:val="00980DA7"/>
    <w:pPr>
      <w:tabs>
        <w:tab w:val="center" w:pos="4513"/>
        <w:tab w:val="right" w:pos="9026"/>
      </w:tabs>
      <w:spacing w:after="0" w:line="240" w:lineRule="auto"/>
    </w:pPr>
  </w:style>
  <w:style w:type="character" w:customStyle="1" w:styleId="HeaderChar">
    <w:name w:val="Header Char"/>
    <w:basedOn w:val="Carpredefinitoparagrafo"/>
    <w:link w:val="Intestazione"/>
    <w:uiPriority w:val="99"/>
    <w:locked/>
    <w:rsid w:val="00980DA7"/>
    <w:rPr>
      <w:rFonts w:ascii="Calibri" w:eastAsia="Times New Roman" w:hAnsi="Calibri" w:cs="Times New Roman"/>
      <w:lang w:val="en-US"/>
    </w:rPr>
  </w:style>
  <w:style w:type="paragraph" w:styleId="Pidipagina">
    <w:name w:val="footer"/>
    <w:basedOn w:val="Normale"/>
    <w:link w:val="FooterChar"/>
    <w:uiPriority w:val="99"/>
    <w:rsid w:val="00980DA7"/>
    <w:pPr>
      <w:tabs>
        <w:tab w:val="center" w:pos="4513"/>
        <w:tab w:val="right" w:pos="9026"/>
      </w:tabs>
      <w:spacing w:after="0" w:line="240" w:lineRule="auto"/>
    </w:pPr>
  </w:style>
  <w:style w:type="character" w:customStyle="1" w:styleId="FooterChar">
    <w:name w:val="Footer Char"/>
    <w:basedOn w:val="Carpredefinitoparagrafo"/>
    <w:link w:val="Pidipagina"/>
    <w:uiPriority w:val="99"/>
    <w:locked/>
    <w:rsid w:val="00980DA7"/>
    <w:rPr>
      <w:rFonts w:ascii="Calibri" w:eastAsia="Times New Roman" w:hAnsi="Calibri" w:cs="Times New Roman"/>
      <w:lang w:val="en-US"/>
    </w:rPr>
  </w:style>
  <w:style w:type="character" w:styleId="Rimandonotaapidipagina">
    <w:name w:val="footnote reference"/>
    <w:basedOn w:val="Carpredefinitoparagrafo"/>
    <w:uiPriority w:val="99"/>
    <w:semiHidden/>
    <w:rsid w:val="0014615B"/>
    <w:rPr>
      <w:rFonts w:cs="Times New Roman"/>
      <w:vertAlign w:val="superscript"/>
    </w:rPr>
  </w:style>
  <w:style w:type="paragraph" w:styleId="Paragrafoelenco">
    <w:name w:val="List Paragraph"/>
    <w:basedOn w:val="Normale"/>
    <w:uiPriority w:val="34"/>
    <w:qFormat/>
    <w:rsid w:val="0014615B"/>
    <w:pPr>
      <w:ind w:left="720"/>
      <w:contextualSpacing/>
    </w:pPr>
  </w:style>
  <w:style w:type="character" w:styleId="Testosegnaposto">
    <w:name w:val="Placeholder Text"/>
    <w:basedOn w:val="Carpredefinitoparagrafo"/>
    <w:uiPriority w:val="99"/>
    <w:rsid w:val="00A00355"/>
    <w:rPr>
      <w:rFonts w:cs="Times New Roman"/>
      <w:color w:val="808080"/>
    </w:rPr>
  </w:style>
  <w:style w:type="character" w:styleId="Rimandocommento">
    <w:name w:val="annotation reference"/>
    <w:basedOn w:val="Carpredefinitoparagrafo"/>
    <w:uiPriority w:val="99"/>
    <w:semiHidden/>
    <w:unhideWhenUsed/>
    <w:rsid w:val="005502DF"/>
    <w:rPr>
      <w:sz w:val="16"/>
      <w:szCs w:val="16"/>
    </w:rPr>
  </w:style>
  <w:style w:type="paragraph" w:styleId="Testocommento">
    <w:name w:val="annotation text"/>
    <w:basedOn w:val="Normale"/>
    <w:link w:val="CommentTextChar"/>
    <w:uiPriority w:val="99"/>
    <w:semiHidden/>
    <w:unhideWhenUsed/>
    <w:rsid w:val="005502DF"/>
    <w:rPr>
      <w:sz w:val="20"/>
      <w:szCs w:val="20"/>
    </w:rPr>
  </w:style>
  <w:style w:type="character" w:customStyle="1" w:styleId="CommentTextChar">
    <w:name w:val="Comment Text Char"/>
    <w:basedOn w:val="Carpredefinitoparagrafo"/>
    <w:link w:val="Testocommento"/>
    <w:uiPriority w:val="99"/>
    <w:semiHidden/>
    <w:rsid w:val="005502DF"/>
    <w:rPr>
      <w:sz w:val="20"/>
      <w:szCs w:val="20"/>
    </w:rPr>
  </w:style>
  <w:style w:type="paragraph" w:styleId="Soggettocommento">
    <w:name w:val="annotation subject"/>
    <w:basedOn w:val="Testocommento"/>
    <w:next w:val="Testocommento"/>
    <w:link w:val="CommentSubjectChar"/>
    <w:uiPriority w:val="99"/>
    <w:semiHidden/>
    <w:unhideWhenUsed/>
    <w:rsid w:val="005502DF"/>
    <w:rPr>
      <w:b/>
      <w:bCs/>
    </w:rPr>
  </w:style>
  <w:style w:type="character" w:customStyle="1" w:styleId="CommentSubjectChar">
    <w:name w:val="Comment Subject Char"/>
    <w:basedOn w:val="CommentTextChar"/>
    <w:link w:val="Soggettocommento"/>
    <w:uiPriority w:val="99"/>
    <w:semiHidden/>
    <w:rsid w:val="005502DF"/>
    <w:rPr>
      <w:b/>
      <w:bCs/>
      <w:sz w:val="20"/>
      <w:szCs w:val="20"/>
    </w:rPr>
  </w:style>
  <w:style w:type="paragraph" w:styleId="Testonotadichiusura">
    <w:name w:val="endnote text"/>
    <w:basedOn w:val="Normale"/>
    <w:link w:val="EndnoteTextChar"/>
    <w:uiPriority w:val="99"/>
    <w:semiHidden/>
    <w:unhideWhenUsed/>
    <w:rsid w:val="006611AA"/>
    <w:pPr>
      <w:spacing w:after="0" w:line="240" w:lineRule="auto"/>
    </w:pPr>
    <w:rPr>
      <w:sz w:val="20"/>
      <w:szCs w:val="20"/>
    </w:rPr>
  </w:style>
  <w:style w:type="character" w:customStyle="1" w:styleId="EndnoteTextChar">
    <w:name w:val="Endnote Text Char"/>
    <w:basedOn w:val="Carpredefinitoparagrafo"/>
    <w:link w:val="Testonotadichiusura"/>
    <w:uiPriority w:val="99"/>
    <w:semiHidden/>
    <w:rsid w:val="006611AA"/>
    <w:rPr>
      <w:lang w:val="en-US" w:eastAsia="en-US"/>
    </w:rPr>
  </w:style>
  <w:style w:type="character" w:styleId="Rimandonotadichiusura">
    <w:name w:val="endnote reference"/>
    <w:basedOn w:val="Carpredefinitoparagrafo"/>
    <w:uiPriority w:val="99"/>
    <w:semiHidden/>
    <w:unhideWhenUsed/>
    <w:rsid w:val="006611AA"/>
    <w:rPr>
      <w:vertAlign w:val="superscript"/>
    </w:rPr>
  </w:style>
  <w:style w:type="paragraph" w:styleId="Puntoelenco">
    <w:name w:val="List Bullet"/>
    <w:basedOn w:val="Normale"/>
    <w:uiPriority w:val="99"/>
    <w:unhideWhenUsed/>
    <w:rsid w:val="00325225"/>
    <w:pPr>
      <w:numPr>
        <w:numId w:val="9"/>
      </w:numPr>
      <w:contextualSpacing/>
    </w:pPr>
  </w:style>
  <w:style w:type="character" w:styleId="Collegamentovisitato">
    <w:name w:val="FollowedHyperlink"/>
    <w:basedOn w:val="Carpredefinitoparagrafo"/>
    <w:uiPriority w:val="99"/>
    <w:semiHidden/>
    <w:unhideWhenUsed/>
    <w:rsid w:val="00F02CF0"/>
    <w:rPr>
      <w:color w:val="800080" w:themeColor="followedHyperlink"/>
      <w:u w:val="single"/>
    </w:rPr>
  </w:style>
  <w:style w:type="character" w:customStyle="1" w:styleId="hit">
    <w:name w:val="hit"/>
    <w:basedOn w:val="Carpredefinitoparagrafo"/>
    <w:rsid w:val="004F183E"/>
  </w:style>
  <w:style w:type="character" w:customStyle="1" w:styleId="italic">
    <w:name w:val="italic"/>
    <w:basedOn w:val="Carpredefinitoparagrafo"/>
    <w:rsid w:val="00E07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021">
      <w:bodyDiv w:val="1"/>
      <w:marLeft w:val="0"/>
      <w:marRight w:val="0"/>
      <w:marTop w:val="0"/>
      <w:marBottom w:val="0"/>
      <w:divBdr>
        <w:top w:val="none" w:sz="0" w:space="0" w:color="auto"/>
        <w:left w:val="none" w:sz="0" w:space="0" w:color="auto"/>
        <w:bottom w:val="none" w:sz="0" w:space="0" w:color="auto"/>
        <w:right w:val="none" w:sz="0" w:space="0" w:color="auto"/>
      </w:divBdr>
    </w:div>
    <w:div w:id="142813376">
      <w:marLeft w:val="0"/>
      <w:marRight w:val="0"/>
      <w:marTop w:val="0"/>
      <w:marBottom w:val="0"/>
      <w:divBdr>
        <w:top w:val="none" w:sz="0" w:space="0" w:color="auto"/>
        <w:left w:val="none" w:sz="0" w:space="0" w:color="auto"/>
        <w:bottom w:val="none" w:sz="0" w:space="0" w:color="auto"/>
        <w:right w:val="none" w:sz="0" w:space="0" w:color="auto"/>
      </w:divBdr>
    </w:div>
    <w:div w:id="142813377">
      <w:marLeft w:val="0"/>
      <w:marRight w:val="0"/>
      <w:marTop w:val="0"/>
      <w:marBottom w:val="0"/>
      <w:divBdr>
        <w:top w:val="none" w:sz="0" w:space="0" w:color="auto"/>
        <w:left w:val="none" w:sz="0" w:space="0" w:color="auto"/>
        <w:bottom w:val="none" w:sz="0" w:space="0" w:color="auto"/>
        <w:right w:val="none" w:sz="0" w:space="0" w:color="auto"/>
      </w:divBdr>
    </w:div>
    <w:div w:id="142813378">
      <w:marLeft w:val="0"/>
      <w:marRight w:val="0"/>
      <w:marTop w:val="0"/>
      <w:marBottom w:val="0"/>
      <w:divBdr>
        <w:top w:val="none" w:sz="0" w:space="0" w:color="auto"/>
        <w:left w:val="none" w:sz="0" w:space="0" w:color="auto"/>
        <w:bottom w:val="none" w:sz="0" w:space="0" w:color="auto"/>
        <w:right w:val="none" w:sz="0" w:space="0" w:color="auto"/>
      </w:divBdr>
    </w:div>
    <w:div w:id="142813379">
      <w:marLeft w:val="0"/>
      <w:marRight w:val="0"/>
      <w:marTop w:val="0"/>
      <w:marBottom w:val="0"/>
      <w:divBdr>
        <w:top w:val="none" w:sz="0" w:space="0" w:color="auto"/>
        <w:left w:val="none" w:sz="0" w:space="0" w:color="auto"/>
        <w:bottom w:val="none" w:sz="0" w:space="0" w:color="auto"/>
        <w:right w:val="none" w:sz="0" w:space="0" w:color="auto"/>
      </w:divBdr>
    </w:div>
    <w:div w:id="142813380">
      <w:marLeft w:val="0"/>
      <w:marRight w:val="0"/>
      <w:marTop w:val="0"/>
      <w:marBottom w:val="0"/>
      <w:divBdr>
        <w:top w:val="none" w:sz="0" w:space="0" w:color="auto"/>
        <w:left w:val="none" w:sz="0" w:space="0" w:color="auto"/>
        <w:bottom w:val="none" w:sz="0" w:space="0" w:color="auto"/>
        <w:right w:val="none" w:sz="0" w:space="0" w:color="auto"/>
      </w:divBdr>
    </w:div>
    <w:div w:id="228543835">
      <w:bodyDiv w:val="1"/>
      <w:marLeft w:val="0"/>
      <w:marRight w:val="0"/>
      <w:marTop w:val="0"/>
      <w:marBottom w:val="0"/>
      <w:divBdr>
        <w:top w:val="none" w:sz="0" w:space="0" w:color="auto"/>
        <w:left w:val="none" w:sz="0" w:space="0" w:color="auto"/>
        <w:bottom w:val="none" w:sz="0" w:space="0" w:color="auto"/>
        <w:right w:val="none" w:sz="0" w:space="0" w:color="auto"/>
      </w:divBdr>
    </w:div>
    <w:div w:id="317265775">
      <w:bodyDiv w:val="1"/>
      <w:marLeft w:val="0"/>
      <w:marRight w:val="0"/>
      <w:marTop w:val="0"/>
      <w:marBottom w:val="0"/>
      <w:divBdr>
        <w:top w:val="none" w:sz="0" w:space="0" w:color="auto"/>
        <w:left w:val="none" w:sz="0" w:space="0" w:color="auto"/>
        <w:bottom w:val="none" w:sz="0" w:space="0" w:color="auto"/>
        <w:right w:val="none" w:sz="0" w:space="0" w:color="auto"/>
      </w:divBdr>
      <w:divsChild>
        <w:div w:id="1976065180">
          <w:marLeft w:val="0"/>
          <w:marRight w:val="0"/>
          <w:marTop w:val="0"/>
          <w:marBottom w:val="0"/>
          <w:divBdr>
            <w:top w:val="none" w:sz="0" w:space="0" w:color="auto"/>
            <w:left w:val="none" w:sz="0" w:space="0" w:color="auto"/>
            <w:bottom w:val="none" w:sz="0" w:space="0" w:color="auto"/>
            <w:right w:val="none" w:sz="0" w:space="0" w:color="auto"/>
          </w:divBdr>
        </w:div>
        <w:div w:id="1564945356">
          <w:marLeft w:val="0"/>
          <w:marRight w:val="0"/>
          <w:marTop w:val="0"/>
          <w:marBottom w:val="0"/>
          <w:divBdr>
            <w:top w:val="none" w:sz="0" w:space="0" w:color="auto"/>
            <w:left w:val="none" w:sz="0" w:space="0" w:color="auto"/>
            <w:bottom w:val="none" w:sz="0" w:space="0" w:color="auto"/>
            <w:right w:val="none" w:sz="0" w:space="0" w:color="auto"/>
          </w:divBdr>
        </w:div>
        <w:div w:id="1314288664">
          <w:marLeft w:val="0"/>
          <w:marRight w:val="0"/>
          <w:marTop w:val="0"/>
          <w:marBottom w:val="0"/>
          <w:divBdr>
            <w:top w:val="none" w:sz="0" w:space="0" w:color="auto"/>
            <w:left w:val="none" w:sz="0" w:space="0" w:color="auto"/>
            <w:bottom w:val="none" w:sz="0" w:space="0" w:color="auto"/>
            <w:right w:val="none" w:sz="0" w:space="0" w:color="auto"/>
          </w:divBdr>
        </w:div>
        <w:div w:id="1667317079">
          <w:marLeft w:val="0"/>
          <w:marRight w:val="0"/>
          <w:marTop w:val="0"/>
          <w:marBottom w:val="0"/>
          <w:divBdr>
            <w:top w:val="none" w:sz="0" w:space="0" w:color="auto"/>
            <w:left w:val="none" w:sz="0" w:space="0" w:color="auto"/>
            <w:bottom w:val="none" w:sz="0" w:space="0" w:color="auto"/>
            <w:right w:val="none" w:sz="0" w:space="0" w:color="auto"/>
          </w:divBdr>
        </w:div>
        <w:div w:id="1092437833">
          <w:marLeft w:val="0"/>
          <w:marRight w:val="0"/>
          <w:marTop w:val="0"/>
          <w:marBottom w:val="0"/>
          <w:divBdr>
            <w:top w:val="none" w:sz="0" w:space="0" w:color="auto"/>
            <w:left w:val="none" w:sz="0" w:space="0" w:color="auto"/>
            <w:bottom w:val="none" w:sz="0" w:space="0" w:color="auto"/>
            <w:right w:val="none" w:sz="0" w:space="0" w:color="auto"/>
          </w:divBdr>
        </w:div>
        <w:div w:id="1257909825">
          <w:marLeft w:val="0"/>
          <w:marRight w:val="0"/>
          <w:marTop w:val="0"/>
          <w:marBottom w:val="0"/>
          <w:divBdr>
            <w:top w:val="none" w:sz="0" w:space="0" w:color="auto"/>
            <w:left w:val="none" w:sz="0" w:space="0" w:color="auto"/>
            <w:bottom w:val="none" w:sz="0" w:space="0" w:color="auto"/>
            <w:right w:val="none" w:sz="0" w:space="0" w:color="auto"/>
          </w:divBdr>
        </w:div>
        <w:div w:id="159348315">
          <w:marLeft w:val="0"/>
          <w:marRight w:val="0"/>
          <w:marTop w:val="0"/>
          <w:marBottom w:val="0"/>
          <w:divBdr>
            <w:top w:val="none" w:sz="0" w:space="0" w:color="auto"/>
            <w:left w:val="none" w:sz="0" w:space="0" w:color="auto"/>
            <w:bottom w:val="none" w:sz="0" w:space="0" w:color="auto"/>
            <w:right w:val="none" w:sz="0" w:space="0" w:color="auto"/>
          </w:divBdr>
        </w:div>
        <w:div w:id="691805688">
          <w:marLeft w:val="0"/>
          <w:marRight w:val="0"/>
          <w:marTop w:val="0"/>
          <w:marBottom w:val="0"/>
          <w:divBdr>
            <w:top w:val="none" w:sz="0" w:space="0" w:color="auto"/>
            <w:left w:val="none" w:sz="0" w:space="0" w:color="auto"/>
            <w:bottom w:val="none" w:sz="0" w:space="0" w:color="auto"/>
            <w:right w:val="none" w:sz="0" w:space="0" w:color="auto"/>
          </w:divBdr>
        </w:div>
        <w:div w:id="956451577">
          <w:marLeft w:val="0"/>
          <w:marRight w:val="0"/>
          <w:marTop w:val="0"/>
          <w:marBottom w:val="0"/>
          <w:divBdr>
            <w:top w:val="none" w:sz="0" w:space="0" w:color="auto"/>
            <w:left w:val="none" w:sz="0" w:space="0" w:color="auto"/>
            <w:bottom w:val="none" w:sz="0" w:space="0" w:color="auto"/>
            <w:right w:val="none" w:sz="0" w:space="0" w:color="auto"/>
          </w:divBdr>
        </w:div>
        <w:div w:id="1313293098">
          <w:marLeft w:val="0"/>
          <w:marRight w:val="0"/>
          <w:marTop w:val="0"/>
          <w:marBottom w:val="0"/>
          <w:divBdr>
            <w:top w:val="none" w:sz="0" w:space="0" w:color="auto"/>
            <w:left w:val="none" w:sz="0" w:space="0" w:color="auto"/>
            <w:bottom w:val="none" w:sz="0" w:space="0" w:color="auto"/>
            <w:right w:val="none" w:sz="0" w:space="0" w:color="auto"/>
          </w:divBdr>
        </w:div>
        <w:div w:id="1274900007">
          <w:marLeft w:val="0"/>
          <w:marRight w:val="0"/>
          <w:marTop w:val="0"/>
          <w:marBottom w:val="0"/>
          <w:divBdr>
            <w:top w:val="none" w:sz="0" w:space="0" w:color="auto"/>
            <w:left w:val="none" w:sz="0" w:space="0" w:color="auto"/>
            <w:bottom w:val="none" w:sz="0" w:space="0" w:color="auto"/>
            <w:right w:val="none" w:sz="0" w:space="0" w:color="auto"/>
          </w:divBdr>
        </w:div>
        <w:div w:id="1796875429">
          <w:marLeft w:val="0"/>
          <w:marRight w:val="0"/>
          <w:marTop w:val="0"/>
          <w:marBottom w:val="0"/>
          <w:divBdr>
            <w:top w:val="none" w:sz="0" w:space="0" w:color="auto"/>
            <w:left w:val="none" w:sz="0" w:space="0" w:color="auto"/>
            <w:bottom w:val="none" w:sz="0" w:space="0" w:color="auto"/>
            <w:right w:val="none" w:sz="0" w:space="0" w:color="auto"/>
          </w:divBdr>
        </w:div>
        <w:div w:id="1727340235">
          <w:marLeft w:val="0"/>
          <w:marRight w:val="0"/>
          <w:marTop w:val="0"/>
          <w:marBottom w:val="0"/>
          <w:divBdr>
            <w:top w:val="none" w:sz="0" w:space="0" w:color="auto"/>
            <w:left w:val="none" w:sz="0" w:space="0" w:color="auto"/>
            <w:bottom w:val="none" w:sz="0" w:space="0" w:color="auto"/>
            <w:right w:val="none" w:sz="0" w:space="0" w:color="auto"/>
          </w:divBdr>
        </w:div>
        <w:div w:id="1847011475">
          <w:marLeft w:val="0"/>
          <w:marRight w:val="0"/>
          <w:marTop w:val="0"/>
          <w:marBottom w:val="0"/>
          <w:divBdr>
            <w:top w:val="none" w:sz="0" w:space="0" w:color="auto"/>
            <w:left w:val="none" w:sz="0" w:space="0" w:color="auto"/>
            <w:bottom w:val="none" w:sz="0" w:space="0" w:color="auto"/>
            <w:right w:val="none" w:sz="0" w:space="0" w:color="auto"/>
          </w:divBdr>
        </w:div>
      </w:divsChild>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81558017">
      <w:bodyDiv w:val="1"/>
      <w:marLeft w:val="0"/>
      <w:marRight w:val="0"/>
      <w:marTop w:val="0"/>
      <w:marBottom w:val="0"/>
      <w:divBdr>
        <w:top w:val="none" w:sz="0" w:space="0" w:color="auto"/>
        <w:left w:val="none" w:sz="0" w:space="0" w:color="auto"/>
        <w:bottom w:val="none" w:sz="0" w:space="0" w:color="auto"/>
        <w:right w:val="none" w:sz="0" w:space="0" w:color="auto"/>
      </w:divBdr>
    </w:div>
    <w:div w:id="417992213">
      <w:bodyDiv w:val="1"/>
      <w:marLeft w:val="0"/>
      <w:marRight w:val="0"/>
      <w:marTop w:val="0"/>
      <w:marBottom w:val="0"/>
      <w:divBdr>
        <w:top w:val="none" w:sz="0" w:space="0" w:color="auto"/>
        <w:left w:val="none" w:sz="0" w:space="0" w:color="auto"/>
        <w:bottom w:val="none" w:sz="0" w:space="0" w:color="auto"/>
        <w:right w:val="none" w:sz="0" w:space="0" w:color="auto"/>
      </w:divBdr>
    </w:div>
    <w:div w:id="467284040">
      <w:bodyDiv w:val="1"/>
      <w:marLeft w:val="0"/>
      <w:marRight w:val="0"/>
      <w:marTop w:val="0"/>
      <w:marBottom w:val="0"/>
      <w:divBdr>
        <w:top w:val="none" w:sz="0" w:space="0" w:color="auto"/>
        <w:left w:val="none" w:sz="0" w:space="0" w:color="auto"/>
        <w:bottom w:val="none" w:sz="0" w:space="0" w:color="auto"/>
        <w:right w:val="none" w:sz="0" w:space="0" w:color="auto"/>
      </w:divBdr>
    </w:div>
    <w:div w:id="568539540">
      <w:bodyDiv w:val="1"/>
      <w:marLeft w:val="0"/>
      <w:marRight w:val="0"/>
      <w:marTop w:val="0"/>
      <w:marBottom w:val="0"/>
      <w:divBdr>
        <w:top w:val="none" w:sz="0" w:space="0" w:color="auto"/>
        <w:left w:val="none" w:sz="0" w:space="0" w:color="auto"/>
        <w:bottom w:val="none" w:sz="0" w:space="0" w:color="auto"/>
        <w:right w:val="none" w:sz="0" w:space="0" w:color="auto"/>
      </w:divBdr>
    </w:div>
    <w:div w:id="637030564">
      <w:bodyDiv w:val="1"/>
      <w:marLeft w:val="0"/>
      <w:marRight w:val="0"/>
      <w:marTop w:val="0"/>
      <w:marBottom w:val="0"/>
      <w:divBdr>
        <w:top w:val="none" w:sz="0" w:space="0" w:color="auto"/>
        <w:left w:val="none" w:sz="0" w:space="0" w:color="auto"/>
        <w:bottom w:val="none" w:sz="0" w:space="0" w:color="auto"/>
        <w:right w:val="none" w:sz="0" w:space="0" w:color="auto"/>
      </w:divBdr>
    </w:div>
    <w:div w:id="1288706768">
      <w:bodyDiv w:val="1"/>
      <w:marLeft w:val="0"/>
      <w:marRight w:val="0"/>
      <w:marTop w:val="0"/>
      <w:marBottom w:val="0"/>
      <w:divBdr>
        <w:top w:val="none" w:sz="0" w:space="0" w:color="auto"/>
        <w:left w:val="none" w:sz="0" w:space="0" w:color="auto"/>
        <w:bottom w:val="none" w:sz="0" w:space="0" w:color="auto"/>
        <w:right w:val="none" w:sz="0" w:space="0" w:color="auto"/>
      </w:divBdr>
    </w:div>
    <w:div w:id="1481001288">
      <w:bodyDiv w:val="1"/>
      <w:marLeft w:val="0"/>
      <w:marRight w:val="0"/>
      <w:marTop w:val="0"/>
      <w:marBottom w:val="0"/>
      <w:divBdr>
        <w:top w:val="none" w:sz="0" w:space="0" w:color="auto"/>
        <w:left w:val="none" w:sz="0" w:space="0" w:color="auto"/>
        <w:bottom w:val="none" w:sz="0" w:space="0" w:color="auto"/>
        <w:right w:val="none" w:sz="0" w:space="0" w:color="auto"/>
      </w:divBdr>
    </w:div>
    <w:div w:id="1629315750">
      <w:bodyDiv w:val="1"/>
      <w:marLeft w:val="0"/>
      <w:marRight w:val="0"/>
      <w:marTop w:val="0"/>
      <w:marBottom w:val="0"/>
      <w:divBdr>
        <w:top w:val="none" w:sz="0" w:space="0" w:color="auto"/>
        <w:left w:val="none" w:sz="0" w:space="0" w:color="auto"/>
        <w:bottom w:val="none" w:sz="0" w:space="0" w:color="auto"/>
        <w:right w:val="none" w:sz="0" w:space="0" w:color="auto"/>
      </w:divBdr>
    </w:div>
    <w:div w:id="1821801857">
      <w:bodyDiv w:val="1"/>
      <w:marLeft w:val="0"/>
      <w:marRight w:val="0"/>
      <w:marTop w:val="0"/>
      <w:marBottom w:val="0"/>
      <w:divBdr>
        <w:top w:val="none" w:sz="0" w:space="0" w:color="auto"/>
        <w:left w:val="none" w:sz="0" w:space="0" w:color="auto"/>
        <w:bottom w:val="none" w:sz="0" w:space="0" w:color="auto"/>
        <w:right w:val="none" w:sz="0" w:space="0" w:color="auto"/>
      </w:divBdr>
    </w:div>
    <w:div w:id="1824740141">
      <w:bodyDiv w:val="1"/>
      <w:marLeft w:val="0"/>
      <w:marRight w:val="0"/>
      <w:marTop w:val="0"/>
      <w:marBottom w:val="0"/>
      <w:divBdr>
        <w:top w:val="none" w:sz="0" w:space="0" w:color="auto"/>
        <w:left w:val="none" w:sz="0" w:space="0" w:color="auto"/>
        <w:bottom w:val="none" w:sz="0" w:space="0" w:color="auto"/>
        <w:right w:val="none" w:sz="0" w:space="0" w:color="auto"/>
      </w:divBdr>
    </w:div>
    <w:div w:id="1827209758">
      <w:bodyDiv w:val="1"/>
      <w:marLeft w:val="0"/>
      <w:marRight w:val="0"/>
      <w:marTop w:val="0"/>
      <w:marBottom w:val="0"/>
      <w:divBdr>
        <w:top w:val="none" w:sz="0" w:space="0" w:color="auto"/>
        <w:left w:val="none" w:sz="0" w:space="0" w:color="auto"/>
        <w:bottom w:val="none" w:sz="0" w:space="0" w:color="auto"/>
        <w:right w:val="none" w:sz="0" w:space="0" w:color="auto"/>
      </w:divBdr>
    </w:div>
    <w:div w:id="1918661665">
      <w:bodyDiv w:val="1"/>
      <w:marLeft w:val="0"/>
      <w:marRight w:val="0"/>
      <w:marTop w:val="0"/>
      <w:marBottom w:val="0"/>
      <w:divBdr>
        <w:top w:val="none" w:sz="0" w:space="0" w:color="auto"/>
        <w:left w:val="none" w:sz="0" w:space="0" w:color="auto"/>
        <w:bottom w:val="none" w:sz="0" w:space="0" w:color="auto"/>
        <w:right w:val="none" w:sz="0" w:space="0" w:color="auto"/>
      </w:divBdr>
    </w:div>
    <w:div w:id="1983846073">
      <w:bodyDiv w:val="1"/>
      <w:marLeft w:val="0"/>
      <w:marRight w:val="0"/>
      <w:marTop w:val="0"/>
      <w:marBottom w:val="0"/>
      <w:divBdr>
        <w:top w:val="none" w:sz="0" w:space="0" w:color="auto"/>
        <w:left w:val="none" w:sz="0" w:space="0" w:color="auto"/>
        <w:bottom w:val="none" w:sz="0" w:space="0" w:color="auto"/>
        <w:right w:val="none" w:sz="0" w:space="0" w:color="auto"/>
      </w:divBdr>
    </w:div>
    <w:div w:id="213308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news/uk-politics-15868844"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a.kara@hull.ac.uk" TargetMode="Externa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hyperlink" Target="Tel:+44(0)"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B3103-D138-4D0E-9349-1C4A3D68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7065</Words>
  <Characters>40271</Characters>
  <Application>Microsoft Office Word</Application>
  <DocSecurity>0</DocSecurity>
  <Lines>335</Lines>
  <Paragraphs>94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Is there racial discrimination in the UK banking services</vt:lpstr>
      <vt:lpstr>Is there racial discrimination in the UK banking services</vt:lpstr>
    </vt:vector>
  </TitlesOfParts>
  <Company>Prifysgol Bangor University</Company>
  <LinksUpToDate>false</LinksUpToDate>
  <CharactersWithSpaces>47242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racial discrimination in the UK banking services</dc:title>
  <dc:creator>abs816</dc:creator>
  <cp:lastModifiedBy>Chiaramonte Laura</cp:lastModifiedBy>
  <cp:revision>2</cp:revision>
  <cp:lastPrinted>2014-05-07T12:20:00Z</cp:lastPrinted>
  <dcterms:created xsi:type="dcterms:W3CDTF">2014-05-15T16:56:00Z</dcterms:created>
  <dcterms:modified xsi:type="dcterms:W3CDTF">2014-05-15T16:56:00Z</dcterms:modified>
</cp:coreProperties>
</file>